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jc w:val="left"/>
      </w:pPr>
      <w:r>
        <w:drawing>
          <wp:inline distT="0" distB="0" distL="0" distR="0">
            <wp:extent cx="129540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295400" cy="666750"/>
                    </a:xfrm>
                    <a:prstGeom prst="rect">
                      <a:avLst/>
                    </a:prstGeom>
                  </pic:spPr>
                </pic:pic>
              </a:graphicData>
            </a:graphic>
          </wp:inline>
        </w:drawing>
      </w:r>
    </w:p>
    <w:p>
      <w:pPr>
        <w:spacing w:after="40" w:line="276"/>
      </w:pPr>
      <w:r>
        <w:rPr>
          <w:rFonts w:ascii="Calibri" w:cs="Calibri" w:eastAsia="Calibri" w:hAnsi="Calibri"/>
          <w:b/>
          <w:bCs/>
          <w:sz w:val="20"/>
          <w:szCs w:val="20"/>
        </w:rPr>
        <w:t xml:space="preserve">9564-8853 QUÉBEC INC. (faisant affaires sous le nom RÉACTIVIX — Courtier IA)</w:t>
      </w:r>
    </w:p>
    <w:p>
      <w:pPr>
        <w:spacing w:after="400" w:line="276"/>
      </w:pPr>
      <w:r>
        <w:rPr>
          <w:rFonts w:ascii="Calibri" w:cs="Calibri" w:eastAsia="Calibri" w:hAnsi="Calibri"/>
          <w:sz w:val="20"/>
          <w:szCs w:val="20"/>
        </w:rPr>
        <w:t xml:space="preserve">505 rue du Golf, Mont-Saint-Hilaire (Québec) Canada J3H 6A6</w:t>
      </w:r>
    </w:p>
    <w:p>
      <w:pPr>
        <w:pStyle w:val="Title"/>
        <w:spacing w:after="300"/>
        <w:jc w:val="center"/>
      </w:pPr>
      <w:r>
        <w:rPr>
          <w:rFonts w:ascii="Calibri" w:cs="Calibri" w:eastAsia="Calibri" w:hAnsi="Calibri"/>
          <w:b/>
          <w:bCs/>
          <w:sz w:val="30"/>
          <w:szCs w:val="30"/>
        </w:rPr>
        <w:t xml:space="preserve">CONDITIONS D'ABONNEMENT — COURTIER IA</w:t>
      </w:r>
    </w:p>
    <w:p>
      <w:pPr>
        <w:spacing w:after="200" w:line="276"/>
      </w:pPr>
      <w:r>
        <w:rPr>
          <w:rFonts w:ascii="Calibri" w:cs="Calibri" w:eastAsia="Calibri" w:hAnsi="Calibri"/>
          <w:sz w:val="22"/>
          <w:szCs w:val="22"/>
        </w:rPr>
        <w:t xml:space="preserve">Les présentes Conditions d'abonnement (les « Conditions ») constituent une entente juridiquement contraignante entre 9564-8853 Québec inc., faisant affaires sous le nom Réactivix — Courtier IA (le « Fournisseur » ou « Réactivix »), et toute personne physique ou morale qui complète le formulaire d'inscription sur courtieria.com et procède au paiement d'un Forfait (le « Client »). En cochant la case « J'accepte les Conditions d'abonnement » et en complétant le paiement, le Client reconnaît avoir lu, compris et accepté les présentes Conditions dans leur intégralité.</w:t>
      </w:r>
    </w:p>
    <w:p>
      <w:pPr>
        <w:spacing w:after="200" w:line="276"/>
      </w:pPr>
      <w:r>
        <w:rPr>
          <w:rFonts w:ascii="Calibri" w:cs="Calibri" w:eastAsia="Calibri" w:hAnsi="Calibri"/>
          <w:sz w:val="22"/>
          <w:szCs w:val="22"/>
        </w:rPr>
        <w:t xml:space="preserve">Cette acceptation électronique, horodatée et associée à l'adresse IP du Client au moment du paiement, constitue une signature électronique valide au sens de la Loi concernant le cadre juridique des technologies de l'information (RLRQ, c. C-1.1) et des articles 2827 à 2839 du Code civil du Québec relatifs à la preuve technologique. Aucune signature manuscrite n'est requise pour la formation de l'Entente.</w:t>
      </w:r>
    </w:p>
    <w:p>
      <w:pPr>
        <w:pStyle w:val="Heading1"/>
        <w:spacing w:after="150" w:before="300"/>
      </w:pPr>
      <w:r>
        <w:rPr>
          <w:rFonts w:ascii="Calibri" w:cs="Calibri" w:eastAsia="Calibri" w:hAnsi="Calibri"/>
          <w:b/>
          <w:bCs/>
        </w:rPr>
        <w:t xml:space="preserve">1. DÉFINITIONS</w:t>
      </w:r>
    </w:p>
    <w:p>
      <w:pPr>
        <w:pStyle w:val="ListParagraph"/>
        <w:numPr>
          <w:ilvl w:val="0"/>
          <w:numId w:val="2"/>
        </w:numPr>
        <w:spacing w:after="120" w:line="276"/>
      </w:pPr>
      <w:r>
        <w:rPr>
          <w:rFonts w:ascii="Calibri" w:cs="Calibri" w:eastAsia="Calibri" w:hAnsi="Calibri"/>
          <w:b/>
          <w:bCs/>
          <w:sz w:val="22"/>
          <w:szCs w:val="22"/>
        </w:rPr>
        <w:t xml:space="preserve">« Abonnement » : </w:t>
      </w:r>
      <w:r>
        <w:rPr>
          <w:rFonts w:ascii="Calibri" w:cs="Calibri" w:eastAsia="Calibri" w:hAnsi="Calibri"/>
          <w:sz w:val="22"/>
          <w:szCs w:val="22"/>
        </w:rPr>
        <w:t xml:space="preserve">l'inscription mensuelle récurrente du Client à un Forfait, active dès le paiement initial et reconduite automatiquement conformément à l'article 8;</w:t>
      </w:r>
    </w:p>
    <w:p>
      <w:pPr>
        <w:pStyle w:val="ListParagraph"/>
        <w:numPr>
          <w:ilvl w:val="0"/>
          <w:numId w:val="2"/>
        </w:numPr>
        <w:spacing w:after="120" w:line="276"/>
      </w:pPr>
      <w:r>
        <w:rPr>
          <w:rFonts w:ascii="Calibri" w:cs="Calibri" w:eastAsia="Calibri" w:hAnsi="Calibri"/>
          <w:b/>
          <w:bCs/>
          <w:sz w:val="22"/>
          <w:szCs w:val="22"/>
        </w:rPr>
        <w:t xml:space="preserve">« Client » : </w:t>
      </w:r>
      <w:r>
        <w:rPr>
          <w:rFonts w:ascii="Calibri" w:cs="Calibri" w:eastAsia="Calibri" w:hAnsi="Calibri"/>
          <w:sz w:val="22"/>
          <w:szCs w:val="22"/>
        </w:rPr>
        <w:t xml:space="preserve">a le sens attribué à ce terme au préambule des présentes;</w:t>
      </w:r>
    </w:p>
    <w:p>
      <w:pPr>
        <w:pStyle w:val="ListParagraph"/>
        <w:numPr>
          <w:ilvl w:val="0"/>
          <w:numId w:val="2"/>
        </w:numPr>
        <w:spacing w:after="120" w:line="276"/>
      </w:pPr>
      <w:r>
        <w:rPr>
          <w:rFonts w:ascii="Calibri" w:cs="Calibri" w:eastAsia="Calibri" w:hAnsi="Calibri"/>
          <w:b/>
          <w:bCs/>
          <w:sz w:val="22"/>
          <w:szCs w:val="22"/>
        </w:rPr>
        <w:t xml:space="preserve">« Conditions » : </w:t>
      </w:r>
      <w:r>
        <w:rPr>
          <w:rFonts w:ascii="Calibri" w:cs="Calibri" w:eastAsia="Calibri" w:hAnsi="Calibri"/>
          <w:sz w:val="22"/>
          <w:szCs w:val="22"/>
        </w:rPr>
        <w:t xml:space="preserve">les présentes Conditions d'abonnement, incluant toute annexe ou page de tarification qui y est incorporée par référence;</w:t>
      </w:r>
    </w:p>
    <w:p>
      <w:pPr>
        <w:pStyle w:val="ListParagraph"/>
        <w:numPr>
          <w:ilvl w:val="0"/>
          <w:numId w:val="2"/>
        </w:numPr>
        <w:spacing w:after="120" w:line="276"/>
      </w:pPr>
      <w:r>
        <w:rPr>
          <w:rFonts w:ascii="Calibri" w:cs="Calibri" w:eastAsia="Calibri" w:hAnsi="Calibri"/>
          <w:b/>
          <w:bCs/>
          <w:sz w:val="22"/>
          <w:szCs w:val="22"/>
        </w:rPr>
        <w:t xml:space="preserve">« Forfait » : </w:t>
      </w:r>
      <w:r>
        <w:rPr>
          <w:rFonts w:ascii="Calibri" w:cs="Calibri" w:eastAsia="Calibri" w:hAnsi="Calibri"/>
          <w:sz w:val="22"/>
          <w:szCs w:val="22"/>
        </w:rPr>
        <w:t xml:space="preserve">l'un des forfaits offerts par le Fournisseur, soit Courtier Solo, Courtier VIP ou Agence VIP, tel que décrit à la page courtieria.com/#pricing et confirmé à l'écran de paiement au moment de l'inscription;</w:t>
      </w:r>
    </w:p>
    <w:p>
      <w:pPr>
        <w:pStyle w:val="ListParagraph"/>
        <w:numPr>
          <w:ilvl w:val="0"/>
          <w:numId w:val="2"/>
        </w:numPr>
        <w:spacing w:after="120" w:line="276"/>
      </w:pPr>
      <w:r>
        <w:rPr>
          <w:rFonts w:ascii="Calibri" w:cs="Calibri" w:eastAsia="Calibri" w:hAnsi="Calibri"/>
          <w:b/>
          <w:bCs/>
          <w:sz w:val="22"/>
          <w:szCs w:val="22"/>
        </w:rPr>
        <w:t xml:space="preserve">« Fournisseur ou Réactivix » : </w:t>
      </w:r>
      <w:r>
        <w:rPr>
          <w:rFonts w:ascii="Calibri" w:cs="Calibri" w:eastAsia="Calibri" w:hAnsi="Calibri"/>
          <w:sz w:val="22"/>
          <w:szCs w:val="22"/>
        </w:rPr>
        <w:t xml:space="preserve">a le sens attribué à ce terme au préambule des présentes;</w:t>
      </w:r>
    </w:p>
    <w:p>
      <w:pPr>
        <w:pStyle w:val="ListParagraph"/>
        <w:numPr>
          <w:ilvl w:val="0"/>
          <w:numId w:val="2"/>
        </w:numPr>
        <w:spacing w:after="120" w:line="276"/>
      </w:pPr>
      <w:r>
        <w:rPr>
          <w:rFonts w:ascii="Calibri" w:cs="Calibri" w:eastAsia="Calibri" w:hAnsi="Calibri"/>
          <w:b/>
          <w:bCs/>
          <w:sz w:val="22"/>
          <w:szCs w:val="22"/>
        </w:rPr>
        <w:t xml:space="preserve">« Frais d'implantation » : </w:t>
      </w:r>
      <w:r>
        <w:rPr>
          <w:rFonts w:ascii="Calibri" w:cs="Calibri" w:eastAsia="Calibri" w:hAnsi="Calibri"/>
          <w:sz w:val="22"/>
          <w:szCs w:val="22"/>
        </w:rPr>
        <w:t xml:space="preserve">les frais uniques exigibles à l'inscription pour la mise en place initiale du Forfait sélectionné, lorsqu'applicables;</w:t>
      </w:r>
    </w:p>
    <w:p>
      <w:pPr>
        <w:pStyle w:val="ListParagraph"/>
        <w:numPr>
          <w:ilvl w:val="0"/>
          <w:numId w:val="2"/>
        </w:numPr>
        <w:spacing w:after="120" w:line="276"/>
      </w:pPr>
      <w:r>
        <w:rPr>
          <w:rFonts w:ascii="Calibri" w:cs="Calibri" w:eastAsia="Calibri" w:hAnsi="Calibri"/>
          <w:b/>
          <w:bCs/>
          <w:sz w:val="22"/>
          <w:szCs w:val="22"/>
        </w:rPr>
        <w:t xml:space="preserve">« IA » : </w:t>
      </w:r>
      <w:r>
        <w:rPr>
          <w:rFonts w:ascii="Calibri" w:cs="Calibri" w:eastAsia="Calibri" w:hAnsi="Calibri"/>
          <w:sz w:val="22"/>
          <w:szCs w:val="22"/>
        </w:rPr>
        <w:t xml:space="preserve">intelligence artificielle;</w:t>
      </w:r>
    </w:p>
    <w:p>
      <w:pPr>
        <w:pStyle w:val="ListParagraph"/>
        <w:numPr>
          <w:ilvl w:val="0"/>
          <w:numId w:val="2"/>
        </w:numPr>
        <w:spacing w:after="120" w:line="276"/>
      </w:pPr>
      <w:r>
        <w:rPr>
          <w:rFonts w:ascii="Calibri" w:cs="Calibri" w:eastAsia="Calibri" w:hAnsi="Calibri"/>
          <w:b/>
          <w:bCs/>
          <w:sz w:val="22"/>
          <w:szCs w:val="22"/>
        </w:rPr>
        <w:t xml:space="preserve">« LCAP » : </w:t>
      </w:r>
      <w:r>
        <w:rPr>
          <w:rFonts w:ascii="Calibri" w:cs="Calibri" w:eastAsia="Calibri" w:hAnsi="Calibri"/>
          <w:sz w:val="22"/>
          <w:szCs w:val="22"/>
        </w:rPr>
        <w:t xml:space="preserve">la Loi visant à promouvoir l'efficacité et la capacité d'adaptation de l'économie canadienne par la réglementation de certaines pratiques qui découragent l'exercice des activités commerciales par voie électronique (L.C. 2010, c. 23);</w:t>
      </w:r>
    </w:p>
    <w:p>
      <w:pPr>
        <w:pStyle w:val="ListParagraph"/>
        <w:numPr>
          <w:ilvl w:val="0"/>
          <w:numId w:val="2"/>
        </w:numPr>
        <w:spacing w:after="120" w:line="276"/>
      </w:pPr>
      <w:r>
        <w:rPr>
          <w:rFonts w:ascii="Calibri" w:cs="Calibri" w:eastAsia="Calibri" w:hAnsi="Calibri"/>
          <w:b/>
          <w:bCs/>
          <w:sz w:val="22"/>
          <w:szCs w:val="22"/>
        </w:rPr>
        <w:t xml:space="preserve">« Lois sur la protection des renseignements personnels » : </w:t>
      </w:r>
      <w:r>
        <w:rPr>
          <w:rFonts w:ascii="Calibri" w:cs="Calibri" w:eastAsia="Calibri" w:hAnsi="Calibri"/>
          <w:sz w:val="22"/>
          <w:szCs w:val="22"/>
        </w:rPr>
        <w:t xml:space="preserve">la Loi sur la protection des renseignements personnels et les documents électroniques (Canada), la Loi sur la protection des renseignements personnels dans le secteur privé (Québec) et toute loi similaire applicable;</w:t>
      </w:r>
    </w:p>
    <w:p>
      <w:pPr>
        <w:pStyle w:val="ListParagraph"/>
        <w:numPr>
          <w:ilvl w:val="0"/>
          <w:numId w:val="2"/>
        </w:numPr>
        <w:spacing w:after="120" w:line="276"/>
      </w:pPr>
      <w:r>
        <w:rPr>
          <w:rFonts w:ascii="Calibri" w:cs="Calibri" w:eastAsia="Calibri" w:hAnsi="Calibri"/>
          <w:b/>
          <w:bCs/>
          <w:sz w:val="22"/>
          <w:szCs w:val="22"/>
        </w:rPr>
        <w:t xml:space="preserve">« Plateforme » : </w:t>
      </w:r>
      <w:r>
        <w:rPr>
          <w:rFonts w:ascii="Calibri" w:cs="Calibri" w:eastAsia="Calibri" w:hAnsi="Calibri"/>
          <w:sz w:val="22"/>
          <w:szCs w:val="22"/>
        </w:rPr>
        <w:t xml:space="preserve">l'ensemble des systèmes et outils technologiques utilisés par le Fournisseur pour livrer les Services, notamment le CRM Go High Level, les services d'IA vocale et d'IA conversationnelle;</w:t>
      </w:r>
    </w:p>
    <w:p>
      <w:pPr>
        <w:pStyle w:val="ListParagraph"/>
        <w:numPr>
          <w:ilvl w:val="0"/>
          <w:numId w:val="2"/>
        </w:numPr>
        <w:spacing w:after="120" w:line="276"/>
      </w:pPr>
      <w:r>
        <w:rPr>
          <w:rFonts w:ascii="Calibri" w:cs="Calibri" w:eastAsia="Calibri" w:hAnsi="Calibri"/>
          <w:b/>
          <w:bCs/>
          <w:sz w:val="22"/>
          <w:szCs w:val="22"/>
        </w:rPr>
        <w:t xml:space="preserve">« Propriété intellectuelle » : </w:t>
      </w:r>
      <w:r>
        <w:rPr>
          <w:rFonts w:ascii="Calibri" w:cs="Calibri" w:eastAsia="Calibri" w:hAnsi="Calibri"/>
          <w:sz w:val="22"/>
          <w:szCs w:val="22"/>
        </w:rPr>
        <w:t xml:space="preserve">tous les droits, titres et intérêts dans les marques de commerce, brevets, logiciels, codes sources, algorithmes, modèles d'IA, données, bases de données et autres actifs intellectuels utilisés dans la prestation des Services;</w:t>
      </w:r>
    </w:p>
    <w:p>
      <w:pPr>
        <w:pStyle w:val="ListParagraph"/>
        <w:numPr>
          <w:ilvl w:val="0"/>
          <w:numId w:val="2"/>
        </w:numPr>
        <w:spacing w:after="120" w:line="276"/>
      </w:pPr>
      <w:r>
        <w:rPr>
          <w:rFonts w:ascii="Calibri" w:cs="Calibri" w:eastAsia="Calibri" w:hAnsi="Calibri"/>
          <w:b/>
          <w:bCs/>
          <w:sz w:val="22"/>
          <w:szCs w:val="22"/>
        </w:rPr>
        <w:t xml:space="preserve">« Renseignements personnels » : </w:t>
      </w:r>
      <w:r>
        <w:rPr>
          <w:rFonts w:ascii="Calibri" w:cs="Calibri" w:eastAsia="Calibri" w:hAnsi="Calibri"/>
          <w:sz w:val="22"/>
          <w:szCs w:val="22"/>
        </w:rPr>
        <w:t xml:space="preserve">toute information relative à une personne physique identifiée ou identifiable, telle que définie dans les Lois sur la protection des renseignements personnels applicables;</w:t>
      </w:r>
    </w:p>
    <w:p>
      <w:pPr>
        <w:pStyle w:val="ListParagraph"/>
        <w:numPr>
          <w:ilvl w:val="0"/>
          <w:numId w:val="2"/>
        </w:numPr>
        <w:spacing w:after="120" w:line="276"/>
      </w:pPr>
      <w:r>
        <w:rPr>
          <w:rFonts w:ascii="Calibri" w:cs="Calibri" w:eastAsia="Calibri" w:hAnsi="Calibri"/>
          <w:b/>
          <w:bCs/>
          <w:sz w:val="22"/>
          <w:szCs w:val="22"/>
        </w:rPr>
        <w:t xml:space="preserve">« Services » : </w:t>
      </w:r>
      <w:r>
        <w:rPr>
          <w:rFonts w:ascii="Calibri" w:cs="Calibri" w:eastAsia="Calibri" w:hAnsi="Calibri"/>
          <w:sz w:val="22"/>
          <w:szCs w:val="22"/>
        </w:rPr>
        <w:t xml:space="preserve">les services d'IA vocale, d'IA conversationnelle, de réponse SMS, de prise de rendez-vous et de relance clientèle inclus dans le Forfait du Client, tels que décrits sur courtieria.com;</w:t>
      </w:r>
    </w:p>
    <w:p>
      <w:pPr>
        <w:pStyle w:val="Heading1"/>
        <w:spacing w:after="150" w:before="300"/>
      </w:pPr>
      <w:r>
        <w:rPr>
          <w:rFonts w:ascii="Calibri" w:cs="Calibri" w:eastAsia="Calibri" w:hAnsi="Calibri"/>
          <w:b/>
          <w:bCs/>
        </w:rPr>
        <w:t xml:space="preserve">2. OBJET</w:t>
      </w:r>
    </w:p>
    <w:p>
      <w:pPr>
        <w:pStyle w:val="ListParagraph"/>
        <w:numPr>
          <w:ilvl w:val="0"/>
          <w:numId w:val="3"/>
        </w:numPr>
        <w:spacing w:after="140" w:line="276"/>
      </w:pPr>
      <w:r>
        <w:rPr>
          <w:rFonts w:ascii="Calibri" w:cs="Calibri" w:eastAsia="Calibri" w:hAnsi="Calibri"/>
          <w:sz w:val="22"/>
          <w:szCs w:val="22"/>
        </w:rPr>
        <w:t xml:space="preserve">Le Fournisseur exploite Courtier IA, une plateforme SaaS destinée aux courtiers hypothécaires, immobiliers et d'assurance, offrant un agent vocal IA disponible 24 heures sur 24, la prise de rendez-vous automatisée, la réponse aux messages SMS et, selon le Forfait choisi, la relance de la clientèle existante et l'accès à l'outil de validation des renouvellements.</w:t>
      </w:r>
    </w:p>
    <w:p>
      <w:pPr>
        <w:pStyle w:val="ListParagraph"/>
        <w:numPr>
          <w:ilvl w:val="0"/>
          <w:numId w:val="3"/>
        </w:numPr>
        <w:spacing w:after="140" w:line="276"/>
      </w:pPr>
      <w:r>
        <w:rPr>
          <w:rFonts w:ascii="Calibri" w:cs="Calibri" w:eastAsia="Calibri" w:hAnsi="Calibri"/>
          <w:sz w:val="22"/>
          <w:szCs w:val="22"/>
        </w:rPr>
        <w:t xml:space="preserve">La portée exacte des Services, leur prix et toute limite applicable (nombre de courtiers inclus, minutes, etc.) sont ceux affichés sur courtieria.com et confirmés à l'écran de paiement. En cas de divergence entre le présent document et la confirmation de commande transmise au Client par courriel, cette dernière prévaut quant au prix et au Forfait souscrit.</w:t>
      </w:r>
    </w:p>
    <w:p>
      <w:pPr>
        <w:pStyle w:val="Heading1"/>
        <w:spacing w:after="150" w:before="300"/>
      </w:pPr>
      <w:r>
        <w:rPr>
          <w:rFonts w:ascii="Calibri" w:cs="Calibri" w:eastAsia="Calibri" w:hAnsi="Calibri"/>
          <w:b/>
          <w:bCs/>
        </w:rPr>
        <w:t xml:space="preserve">3. OBLIGATIONS DU CLIENT</w:t>
      </w:r>
    </w:p>
    <w:p>
      <w:pPr>
        <w:pStyle w:val="ListParagraph"/>
        <w:numPr>
          <w:ilvl w:val="0"/>
          <w:numId w:val="4"/>
        </w:numPr>
        <w:spacing w:after="140" w:line="276"/>
      </w:pPr>
      <w:r>
        <w:rPr>
          <w:rFonts w:ascii="Calibri" w:cs="Calibri" w:eastAsia="Calibri" w:hAnsi="Calibri"/>
          <w:sz w:val="22"/>
          <w:szCs w:val="22"/>
        </w:rPr>
        <w:t xml:space="preserve">Obtenir et maintenir tous les consentements requis pour la collecte, l'utilisation et la divulgation de Renseignements personnels de ses propres clients ou prospects traités par les Services, en conformité avec la LCAP et les Lois sur la protection des renseignements personnels;</w:t>
      </w:r>
    </w:p>
    <w:p>
      <w:pPr>
        <w:pStyle w:val="ListParagraph"/>
        <w:numPr>
          <w:ilvl w:val="0"/>
          <w:numId w:val="4"/>
        </w:numPr>
        <w:spacing w:after="140" w:line="276"/>
      </w:pPr>
      <w:r>
        <w:rPr>
          <w:rFonts w:ascii="Calibri" w:cs="Calibri" w:eastAsia="Calibri" w:hAnsi="Calibri"/>
          <w:sz w:val="22"/>
          <w:szCs w:val="22"/>
        </w:rPr>
        <w:t xml:space="preserve">S'assurer que les informations fournies au Fournisseur (coordonnées, contenu, scripts, données clients) sont exactes, complètes et obtenues légalement;</w:t>
      </w:r>
    </w:p>
    <w:p>
      <w:pPr>
        <w:pStyle w:val="ListParagraph"/>
        <w:numPr>
          <w:ilvl w:val="0"/>
          <w:numId w:val="4"/>
        </w:numPr>
        <w:spacing w:after="140" w:line="276"/>
      </w:pPr>
      <w:r>
        <w:rPr>
          <w:rFonts w:ascii="Calibri" w:cs="Calibri" w:eastAsia="Calibri" w:hAnsi="Calibri"/>
          <w:sz w:val="22"/>
          <w:szCs w:val="22"/>
        </w:rPr>
        <w:t xml:space="preserve">S'abstenir de toute utilisation des Services à des fins illicites, frauduleuses ou susceptibles d'engager la responsabilité du Fournisseur;</w:t>
      </w:r>
    </w:p>
    <w:p>
      <w:pPr>
        <w:pStyle w:val="ListParagraph"/>
        <w:numPr>
          <w:ilvl w:val="0"/>
          <w:numId w:val="4"/>
        </w:numPr>
        <w:spacing w:after="140" w:line="276"/>
      </w:pPr>
      <w:r>
        <w:rPr>
          <w:rFonts w:ascii="Calibri" w:cs="Calibri" w:eastAsia="Calibri" w:hAnsi="Calibri"/>
          <w:sz w:val="22"/>
          <w:szCs w:val="22"/>
        </w:rPr>
        <w:t xml:space="preserve">Maintenir à jour un moyen de paiement valide pour la durée de l'Abonnement.</w:t>
      </w:r>
    </w:p>
    <w:p>
      <w:pPr>
        <w:pStyle w:val="Heading1"/>
        <w:spacing w:after="150" w:before="300"/>
      </w:pPr>
      <w:r>
        <w:rPr>
          <w:rFonts w:ascii="Calibri" w:cs="Calibri" w:eastAsia="Calibri" w:hAnsi="Calibri"/>
          <w:b/>
          <w:bCs/>
        </w:rPr>
        <w:t xml:space="preserve">4. OBLIGATIONS DU FOURNISSEUR</w:t>
      </w:r>
    </w:p>
    <w:p>
      <w:pPr>
        <w:pStyle w:val="ListParagraph"/>
        <w:numPr>
          <w:ilvl w:val="0"/>
          <w:numId w:val="5"/>
        </w:numPr>
        <w:spacing w:after="140" w:line="276"/>
      </w:pPr>
      <w:r>
        <w:rPr>
          <w:rFonts w:ascii="Calibri" w:cs="Calibri" w:eastAsia="Calibri" w:hAnsi="Calibri"/>
          <w:sz w:val="22"/>
          <w:szCs w:val="22"/>
        </w:rPr>
        <w:t xml:space="preserve">Procéder à l'activation du Forfait dans un délai de sept (7) jours ouvrables suivant la réception du paiement intégral des Frais d'implantation (lorsque applicables) et des informations nécessaires du Client;</w:t>
      </w:r>
    </w:p>
    <w:p>
      <w:pPr>
        <w:pStyle w:val="ListParagraph"/>
        <w:numPr>
          <w:ilvl w:val="0"/>
          <w:numId w:val="5"/>
        </w:numPr>
        <w:spacing w:after="140" w:line="276"/>
      </w:pPr>
      <w:r>
        <w:rPr>
          <w:rFonts w:ascii="Calibri" w:cs="Calibri" w:eastAsia="Calibri" w:hAnsi="Calibri"/>
          <w:sz w:val="22"/>
          <w:szCs w:val="22"/>
        </w:rPr>
        <w:t xml:space="preserve">Offrir un soutien technique de 9h00 à 17h00, heure de l'Est, avec un temps de réponse maximal de deux (2) heures pour tout incident critique (interruption complète du service vocal ou conversationnel);</w:t>
      </w:r>
    </w:p>
    <w:p>
      <w:pPr>
        <w:pStyle w:val="ListParagraph"/>
        <w:numPr>
          <w:ilvl w:val="0"/>
          <w:numId w:val="5"/>
        </w:numPr>
        <w:spacing w:after="140" w:line="276"/>
      </w:pPr>
      <w:r>
        <w:rPr>
          <w:rFonts w:ascii="Calibri" w:cs="Calibri" w:eastAsia="Calibri" w:hAnsi="Calibri"/>
          <w:sz w:val="22"/>
          <w:szCs w:val="22"/>
        </w:rPr>
        <w:t xml:space="preserve">Maintenir la Plateforme en fonction selon les meilleures pratiques de l'industrie, sans toutefois garantir une disponibilité ininterrompue (voir article 9 — Limitation de responsabilité).</w:t>
      </w:r>
    </w:p>
    <w:p>
      <w:pPr>
        <w:pStyle w:val="Heading1"/>
        <w:spacing w:after="150" w:before="300"/>
      </w:pPr>
      <w:r>
        <w:rPr>
          <w:rFonts w:ascii="Calibri" w:cs="Calibri" w:eastAsia="Calibri" w:hAnsi="Calibri"/>
          <w:b/>
          <w:bCs/>
        </w:rPr>
        <w:t xml:space="preserve">5. PROPRIÉTÉ INTELLECTUELLE</w:t>
      </w:r>
    </w:p>
    <w:p>
      <w:pPr>
        <w:pStyle w:val="ListParagraph"/>
        <w:numPr>
          <w:ilvl w:val="0"/>
          <w:numId w:val="6"/>
        </w:numPr>
        <w:spacing w:after="140" w:line="276"/>
      </w:pPr>
      <w:r>
        <w:rPr>
          <w:rFonts w:ascii="Calibri" w:cs="Calibri" w:eastAsia="Calibri" w:hAnsi="Calibri"/>
          <w:sz w:val="22"/>
          <w:szCs w:val="22"/>
        </w:rPr>
        <w:t xml:space="preserve">Tous les droits, titres et intérêts sur les Services, la Plateforme, les modèles d'IA, les algorithmes et la documentation demeurent la propriété exclusive du Fournisseur.</w:t>
      </w:r>
    </w:p>
    <w:p>
      <w:pPr>
        <w:pStyle w:val="ListParagraph"/>
        <w:numPr>
          <w:ilvl w:val="0"/>
          <w:numId w:val="6"/>
        </w:numPr>
        <w:spacing w:after="140" w:line="276"/>
      </w:pPr>
      <w:r>
        <w:rPr>
          <w:rFonts w:ascii="Calibri" w:cs="Calibri" w:eastAsia="Calibri" w:hAnsi="Calibri"/>
          <w:sz w:val="22"/>
          <w:szCs w:val="22"/>
        </w:rPr>
        <w:t xml:space="preserve">Sous réserve du paiement à jour des sommes dues, le Fournisseur accorde au Client une licence limitée, non exclusive, non transférable et révocable d'utiliser les Services à des fins commerciales internes pendant la durée de l'Abonnement.</w:t>
      </w:r>
    </w:p>
    <w:p>
      <w:pPr>
        <w:pStyle w:val="Heading1"/>
        <w:spacing w:after="150" w:before="300"/>
      </w:pPr>
      <w:r>
        <w:rPr>
          <w:rFonts w:ascii="Calibri" w:cs="Calibri" w:eastAsia="Calibri" w:hAnsi="Calibri"/>
          <w:b/>
          <w:bCs/>
        </w:rPr>
        <w:t xml:space="preserve">6. PROTECTION DES DONNÉES ET CONFIDENTIALITÉ</w:t>
      </w:r>
    </w:p>
    <w:p>
      <w:pPr>
        <w:pStyle w:val="ListParagraph"/>
        <w:numPr>
          <w:ilvl w:val="0"/>
          <w:numId w:val="7"/>
        </w:numPr>
        <w:spacing w:after="140" w:line="276"/>
      </w:pPr>
      <w:r>
        <w:rPr>
          <w:rFonts w:ascii="Calibri" w:cs="Calibri" w:eastAsia="Calibri" w:hAnsi="Calibri"/>
          <w:sz w:val="22"/>
          <w:szCs w:val="22"/>
        </w:rPr>
        <w:t xml:space="preserve">Le Fournisseur s'engage à conserver les Renseignements personnels traités dans le cadre des Services dans un environnement sécurisé, à en limiter l'accès aux seuls membres de son personnel dont les fonctions le requièrent, et à ne les traiter que selon les instructions documentées du Client;</w:t>
      </w:r>
    </w:p>
    <w:p>
      <w:pPr>
        <w:pStyle w:val="ListParagraph"/>
        <w:numPr>
          <w:ilvl w:val="0"/>
          <w:numId w:val="7"/>
        </w:numPr>
        <w:spacing w:after="140" w:line="276"/>
      </w:pPr>
      <w:r>
        <w:rPr>
          <w:rFonts w:ascii="Calibri" w:cs="Calibri" w:eastAsia="Calibri" w:hAnsi="Calibri"/>
          <w:sz w:val="22"/>
          <w:szCs w:val="22"/>
        </w:rPr>
        <w:t xml:space="preserve">Le Fournisseur avisera le Client de toute violation de données dans un délai de quarante-huit (48) heures suivant la découverte de celle-ci;</w:t>
      </w:r>
    </w:p>
    <w:p>
      <w:pPr>
        <w:pStyle w:val="ListParagraph"/>
        <w:numPr>
          <w:ilvl w:val="0"/>
          <w:numId w:val="7"/>
        </w:numPr>
        <w:spacing w:after="140" w:line="276"/>
      </w:pPr>
      <w:r>
        <w:rPr>
          <w:rFonts w:ascii="Calibri" w:cs="Calibri" w:eastAsia="Calibri" w:hAnsi="Calibri"/>
          <w:sz w:val="22"/>
          <w:szCs w:val="22"/>
        </w:rPr>
        <w:t xml:space="preserve">Le Client garantit détenir tous les consentements nécessaires relatifs aux données qu'il transmet au Fournisseur et défendra, indemnisera et tiendra indemne le Fournisseur contre toute réclamation découlant d'un défaut à cet égard;</w:t>
      </w:r>
    </w:p>
    <w:p>
      <w:pPr>
        <w:pStyle w:val="ListParagraph"/>
        <w:numPr>
          <w:ilvl w:val="0"/>
          <w:numId w:val="7"/>
        </w:numPr>
        <w:spacing w:after="140" w:line="276"/>
      </w:pPr>
      <w:r>
        <w:rPr>
          <w:rFonts w:ascii="Calibri" w:cs="Calibri" w:eastAsia="Calibri" w:hAnsi="Calibri"/>
          <w:sz w:val="22"/>
          <w:szCs w:val="22"/>
        </w:rPr>
        <w:t xml:space="preserve">À la résiliation de l'Abonnement, le Fournisseur détruira les Renseignements personnels du Client conformément aux Lois sur la protection des renseignements personnels, sous réserve de toute obligation de conservation légale.</w:t>
      </w:r>
    </w:p>
    <w:p>
      <w:pPr>
        <w:pStyle w:val="Heading1"/>
        <w:spacing w:after="150" w:before="300"/>
      </w:pPr>
      <w:r>
        <w:rPr>
          <w:rFonts w:ascii="Calibri" w:cs="Calibri" w:eastAsia="Calibri" w:hAnsi="Calibri"/>
          <w:b/>
          <w:bCs/>
        </w:rPr>
        <w:t xml:space="preserve">7. HONORAIRES ET MODALITÉS DE PAIEMENT</w:t>
      </w:r>
    </w:p>
    <w:p>
      <w:pPr>
        <w:pStyle w:val="ListParagraph"/>
        <w:numPr>
          <w:ilvl w:val="0"/>
          <w:numId w:val="8"/>
        </w:numPr>
        <w:spacing w:after="140" w:line="276"/>
      </w:pPr>
      <w:r>
        <w:rPr>
          <w:rFonts w:ascii="Calibri" w:cs="Calibri" w:eastAsia="Calibri" w:hAnsi="Calibri"/>
          <w:sz w:val="22"/>
          <w:szCs w:val="22"/>
        </w:rPr>
        <w:t xml:space="preserve">Les Frais d'implantation, lorsqu'applicables, sont payables en un seul versement au moment de l'inscription, avant l'activation du Forfait, et ne sont pas remboursables une fois le processus d'implantation entamé;</w:t>
      </w:r>
    </w:p>
    <w:p>
      <w:pPr>
        <w:pStyle w:val="ListParagraph"/>
        <w:numPr>
          <w:ilvl w:val="0"/>
          <w:numId w:val="8"/>
        </w:numPr>
        <w:spacing w:after="140" w:line="276"/>
      </w:pPr>
      <w:r>
        <w:rPr>
          <w:rFonts w:ascii="Calibri" w:cs="Calibri" w:eastAsia="Calibri" w:hAnsi="Calibri"/>
          <w:sz w:val="22"/>
          <w:szCs w:val="22"/>
        </w:rPr>
        <w:t xml:space="preserve">Les frais d'Abonnement mensuel sont facturés d'avance, par carte de crédit enregistrée au dossier, le jour calendaire correspondant à la date du paiement initial (ou le jour ouvrable suivant si ce jour n'existe pas dans le mois), et ce pour toute la durée de l'Abonnement;</w:t>
      </w:r>
    </w:p>
    <w:p>
      <w:pPr>
        <w:pStyle w:val="ListParagraph"/>
        <w:numPr>
          <w:ilvl w:val="0"/>
          <w:numId w:val="8"/>
        </w:numPr>
        <w:spacing w:after="140" w:line="276"/>
      </w:pPr>
      <w:r>
        <w:rPr>
          <w:rFonts w:ascii="Calibri" w:cs="Calibri" w:eastAsia="Calibri" w:hAnsi="Calibri"/>
          <w:sz w:val="22"/>
          <w:szCs w:val="22"/>
        </w:rPr>
        <w:t xml:space="preserve">Les prix affichés sont en dollars canadiens et excluent les taxes applicables, lesquelles sont ajoutées au moment du paiement;</w:t>
      </w:r>
    </w:p>
    <w:p>
      <w:pPr>
        <w:pStyle w:val="ListParagraph"/>
        <w:numPr>
          <w:ilvl w:val="0"/>
          <w:numId w:val="8"/>
        </w:numPr>
        <w:spacing w:after="140" w:line="276"/>
      </w:pPr>
      <w:r>
        <w:rPr>
          <w:rFonts w:ascii="Calibri" w:cs="Calibri" w:eastAsia="Calibri" w:hAnsi="Calibri"/>
          <w:sz w:val="22"/>
          <w:szCs w:val="22"/>
        </w:rPr>
        <w:t xml:space="preserve">Tout paiement refusé ou en souffrance porte intérêt à un taux de cinq pour cent (5 %) par mois, calculé quotidiennement, à compter de la date d'échéance. Le Fournisseur peut suspendre l'accès aux Services si un paiement demeure en souffrance plus de cinq (5) jours ouvrables suivant un avis au Client;</w:t>
      </w:r>
    </w:p>
    <w:p>
      <w:pPr>
        <w:pStyle w:val="ListParagraph"/>
        <w:numPr>
          <w:ilvl w:val="0"/>
          <w:numId w:val="8"/>
        </w:numPr>
        <w:spacing w:after="140" w:line="276"/>
      </w:pPr>
      <w:r>
        <w:rPr>
          <w:rFonts w:ascii="Calibri" w:cs="Calibri" w:eastAsia="Calibri" w:hAnsi="Calibri"/>
          <w:sz w:val="22"/>
          <w:szCs w:val="22"/>
        </w:rPr>
        <w:t xml:space="preserve">Un reçu détaillé est transmis par courriel au Client à chaque facturation.</w:t>
      </w:r>
    </w:p>
    <w:p>
      <w:pPr>
        <w:pStyle w:val="Heading1"/>
        <w:spacing w:after="150" w:before="300"/>
      </w:pPr>
      <w:r>
        <w:rPr>
          <w:rFonts w:ascii="Calibri" w:cs="Calibri" w:eastAsia="Calibri" w:hAnsi="Calibri"/>
          <w:b/>
          <w:bCs/>
        </w:rPr>
        <w:t xml:space="preserve">8. DURÉE, RENOUVELLEMENT ET RÉSILIATION</w:t>
      </w:r>
    </w:p>
    <w:p>
      <w:pPr>
        <w:pStyle w:val="ListParagraph"/>
        <w:numPr>
          <w:ilvl w:val="0"/>
          <w:numId w:val="9"/>
        </w:numPr>
        <w:spacing w:after="140" w:line="276"/>
      </w:pPr>
      <w:r>
        <w:rPr>
          <w:rFonts w:ascii="Calibri" w:cs="Calibri" w:eastAsia="Calibri" w:hAnsi="Calibri"/>
          <w:sz w:val="22"/>
          <w:szCs w:val="22"/>
        </w:rPr>
        <w:t xml:space="preserve">L'Abonnement est mensuel, sans engagement à long terme, et se renouvelle automatiquement chaque mois à la date anniversaire du paiement initial, jusqu'à annulation par l'une des Parties;</w:t>
      </w:r>
    </w:p>
    <w:p>
      <w:pPr>
        <w:pStyle w:val="ListParagraph"/>
        <w:numPr>
          <w:ilvl w:val="0"/>
          <w:numId w:val="9"/>
        </w:numPr>
        <w:spacing w:after="140" w:line="276"/>
      </w:pPr>
      <w:r>
        <w:rPr>
          <w:rFonts w:ascii="Calibri" w:cs="Calibri" w:eastAsia="Calibri" w:hAnsi="Calibri"/>
          <w:sz w:val="22"/>
          <w:szCs w:val="22"/>
        </w:rPr>
        <w:t xml:space="preserve">Le Client peut annuler son Abonnement en tout temps, sans pénalité, depuis son espace client ou par courriel à l'adresse indiquée à l'article 10. L'annulation prend effet à la fin du cycle de facturation mensuel en cours; aucun remboursement au prorata n'est accordé pour la portion déjà facturée du mois en cours;</w:t>
      </w:r>
    </w:p>
    <w:p>
      <w:pPr>
        <w:pStyle w:val="ListParagraph"/>
        <w:numPr>
          <w:ilvl w:val="0"/>
          <w:numId w:val="9"/>
        </w:numPr>
        <w:spacing w:after="140" w:line="276"/>
      </w:pPr>
      <w:r>
        <w:rPr>
          <w:rFonts w:ascii="Calibri" w:cs="Calibri" w:eastAsia="Calibri" w:hAnsi="Calibri"/>
          <w:sz w:val="22"/>
          <w:szCs w:val="22"/>
        </w:rPr>
        <w:t xml:space="preserve">Le Fournisseur peut résilier l'Abonnement avec effet immédiat, sur simple avis écrit, en cas de fraude, d'acte illégal, de non-paiement non corrigé dans les cinq (5) jours suivant un avis, ou de manquement du Client à l'article 3 des présentes;</w:t>
      </w:r>
    </w:p>
    <w:p>
      <w:pPr>
        <w:pStyle w:val="ListParagraph"/>
        <w:numPr>
          <w:ilvl w:val="0"/>
          <w:numId w:val="9"/>
        </w:numPr>
        <w:spacing w:after="140" w:line="276"/>
      </w:pPr>
      <w:r>
        <w:rPr>
          <w:rFonts w:ascii="Calibri" w:cs="Calibri" w:eastAsia="Calibri" w:hAnsi="Calibri"/>
          <w:sz w:val="22"/>
          <w:szCs w:val="22"/>
        </w:rPr>
        <w:t xml:space="preserve">Les Frais d'implantation ne sont pas remboursables en cas de résiliation, sauf disposition contraire convenue par écrit.</w:t>
      </w:r>
    </w:p>
    <w:p>
      <w:pPr>
        <w:pStyle w:val="Heading1"/>
        <w:spacing w:after="150" w:before="300"/>
      </w:pPr>
      <w:r>
        <w:rPr>
          <w:rFonts w:ascii="Calibri" w:cs="Calibri" w:eastAsia="Calibri" w:hAnsi="Calibri"/>
          <w:b/>
          <w:bCs/>
        </w:rPr>
        <w:t xml:space="preserve">9. LIMITATION DE RESPONSABILITÉ</w:t>
      </w:r>
    </w:p>
    <w:p>
      <w:pPr>
        <w:pStyle w:val="ListParagraph"/>
        <w:numPr>
          <w:ilvl w:val="0"/>
          <w:numId w:val="10"/>
        </w:numPr>
        <w:spacing w:after="140" w:line="276"/>
      </w:pPr>
      <w:r>
        <w:rPr>
          <w:rFonts w:ascii="Calibri" w:cs="Calibri" w:eastAsia="Calibri" w:hAnsi="Calibri"/>
          <w:sz w:val="22"/>
          <w:szCs w:val="22"/>
        </w:rPr>
        <w:t xml:space="preserve">Sauf en cas de négligence lourde ou de faute intentionnelle, aucune Partie ne sera responsable envers l'autre pour tout dommage indirect, accessoire, spécial ou consécutif découlant des présentes Conditions ou de la prestation des Services;</w:t>
      </w:r>
    </w:p>
    <w:p>
      <w:pPr>
        <w:pStyle w:val="ListParagraph"/>
        <w:numPr>
          <w:ilvl w:val="0"/>
          <w:numId w:val="10"/>
        </w:numPr>
        <w:spacing w:after="140" w:line="276"/>
      </w:pPr>
      <w:r>
        <w:rPr>
          <w:rFonts w:ascii="Calibri" w:cs="Calibri" w:eastAsia="Calibri" w:hAnsi="Calibri"/>
          <w:sz w:val="22"/>
          <w:szCs w:val="22"/>
        </w:rPr>
        <w:t xml:space="preserve">La responsabilité totale cumulée du Fournisseur pour toute réclamation découlant des présentes ne dépassera en aucun cas le montant total des frais payés par le Client au cours des douze (12) mois précédant l'événement ayant donné lieu à la réclamation;</w:t>
      </w:r>
    </w:p>
    <w:p>
      <w:pPr>
        <w:pStyle w:val="ListParagraph"/>
        <w:numPr>
          <w:ilvl w:val="0"/>
          <w:numId w:val="10"/>
        </w:numPr>
        <w:spacing w:after="140" w:line="276"/>
      </w:pPr>
      <w:r>
        <w:rPr>
          <w:rFonts w:ascii="Calibri" w:cs="Calibri" w:eastAsia="Calibri" w:hAnsi="Calibri"/>
          <w:sz w:val="22"/>
          <w:szCs w:val="22"/>
        </w:rPr>
        <w:t xml:space="preserve">Cette limitation de responsabilité survit à la résiliation ou à l'expiration de l'Abonnement pour quelque raison que ce soit.</w:t>
      </w:r>
    </w:p>
    <w:p>
      <w:pPr>
        <w:pStyle w:val="Heading1"/>
        <w:spacing w:after="150" w:before="300"/>
      </w:pPr>
      <w:r>
        <w:rPr>
          <w:rFonts w:ascii="Calibri" w:cs="Calibri" w:eastAsia="Calibri" w:hAnsi="Calibri"/>
          <w:b/>
          <w:bCs/>
        </w:rPr>
        <w:t xml:space="preserve">10. AVIS</w:t>
      </w:r>
    </w:p>
    <w:p>
      <w:pPr>
        <w:spacing w:after="200" w:line="276"/>
      </w:pPr>
      <w:r>
        <w:rPr>
          <w:rFonts w:ascii="Calibri" w:cs="Calibri" w:eastAsia="Calibri" w:hAnsi="Calibri"/>
          <w:sz w:val="22"/>
          <w:szCs w:val="22"/>
        </w:rPr>
        <w:t xml:space="preserve">Tout avis destiné au Fournisseur doit être transmis par courriel à louis.chamberland@reactivix.com. Tout avis destiné au Client sera transmis à l'adresse courriel fournie par celui-ci lors de son inscription. Un avis transmis par courriel est présumé reçu le jour ouvrable suivant son envoi.</w:t>
      </w:r>
    </w:p>
    <w:p>
      <w:pPr>
        <w:pStyle w:val="Heading1"/>
        <w:spacing w:after="150" w:before="300"/>
      </w:pPr>
      <w:r>
        <w:rPr>
          <w:rFonts w:ascii="Calibri" w:cs="Calibri" w:eastAsia="Calibri" w:hAnsi="Calibri"/>
          <w:b/>
          <w:bCs/>
        </w:rPr>
        <w:t xml:space="preserve">11. MODIFICATION DES CONDITIONS</w:t>
      </w:r>
    </w:p>
    <w:p>
      <w:pPr>
        <w:spacing w:after="200" w:line="276"/>
      </w:pPr>
      <w:r>
        <w:rPr>
          <w:rFonts w:ascii="Calibri" w:cs="Calibri" w:eastAsia="Calibri" w:hAnsi="Calibri"/>
          <w:sz w:val="22"/>
          <w:szCs w:val="22"/>
        </w:rPr>
        <w:t xml:space="preserve">Le Fournisseur peut modifier les présentes Conditions en tout temps pour refléter l'évolution des Services ou des exigences légales. Toute modification substantielle sera communiquée au Client par courriel au moins trente (30) jours avant son entrée en vigueur. La poursuite de l'utilisation des Services après cette date vaut acceptation des Conditions modifiées; le Client conserve en tout temps le droit d'annuler son Abonnement conformément à l'article 8 s'il refuse une modification.</w:t>
      </w:r>
    </w:p>
    <w:p>
      <w:pPr>
        <w:pStyle w:val="Heading1"/>
        <w:spacing w:after="150" w:before="300"/>
      </w:pPr>
      <w:r>
        <w:rPr>
          <w:rFonts w:ascii="Calibri" w:cs="Calibri" w:eastAsia="Calibri" w:hAnsi="Calibri"/>
          <w:b/>
          <w:bCs/>
        </w:rPr>
        <w:t xml:space="preserve">12. DISPOSITIONS GÉNÉRALES</w:t>
      </w:r>
    </w:p>
    <w:p>
      <w:pPr>
        <w:pStyle w:val="ListParagraph"/>
        <w:numPr>
          <w:ilvl w:val="0"/>
          <w:numId w:val="11"/>
        </w:numPr>
        <w:spacing w:after="140" w:line="276"/>
      </w:pPr>
      <w:r>
        <w:rPr>
          <w:rFonts w:ascii="Calibri" w:cs="Calibri" w:eastAsia="Calibri" w:hAnsi="Calibri"/>
          <w:sz w:val="22"/>
          <w:szCs w:val="22"/>
        </w:rPr>
        <w:t xml:space="preserve">Le Client ne peut céder ses droits et obligations en vertu des présentes sans le consentement écrit préalable du Fournisseur;</w:t>
      </w:r>
    </w:p>
    <w:p>
      <w:pPr>
        <w:pStyle w:val="ListParagraph"/>
        <w:numPr>
          <w:ilvl w:val="0"/>
          <w:numId w:val="11"/>
        </w:numPr>
        <w:spacing w:after="140" w:line="276"/>
      </w:pPr>
      <w:r>
        <w:rPr>
          <w:rFonts w:ascii="Calibri" w:cs="Calibri" w:eastAsia="Calibri" w:hAnsi="Calibri"/>
          <w:sz w:val="22"/>
          <w:szCs w:val="22"/>
        </w:rPr>
        <w:t xml:space="preserve">Si une disposition des présentes est jugée invalide ou inexécutoire, les autres dispositions demeurent en vigueur;</w:t>
      </w:r>
    </w:p>
    <w:p>
      <w:pPr>
        <w:pStyle w:val="ListParagraph"/>
        <w:numPr>
          <w:ilvl w:val="0"/>
          <w:numId w:val="11"/>
        </w:numPr>
        <w:spacing w:after="140" w:line="276"/>
      </w:pPr>
      <w:r>
        <w:rPr>
          <w:rFonts w:ascii="Calibri" w:cs="Calibri" w:eastAsia="Calibri" w:hAnsi="Calibri"/>
          <w:sz w:val="22"/>
          <w:szCs w:val="22"/>
        </w:rPr>
        <w:t xml:space="preserve">Les présentes Conditions, incluant la page de tarification de courtieria.com qui y est incorporée par référence, constituent l'intégralité de l'entente entre les Parties quant à son objet et remplacent toute entente antérieure, écrite ou verbale;</w:t>
      </w:r>
    </w:p>
    <w:p>
      <w:pPr>
        <w:pStyle w:val="ListParagraph"/>
        <w:numPr>
          <w:ilvl w:val="0"/>
          <w:numId w:val="11"/>
        </w:numPr>
        <w:spacing w:after="140" w:line="276"/>
      </w:pPr>
      <w:r>
        <w:rPr>
          <w:rFonts w:ascii="Calibri" w:cs="Calibri" w:eastAsia="Calibri" w:hAnsi="Calibri"/>
          <w:sz w:val="22"/>
          <w:szCs w:val="22"/>
        </w:rPr>
        <w:t xml:space="preserve">Les présentes Conditions sont régies par les lois applicables dans la province de Québec, et les Parties se soumettent à la juridiction des tribunaux du district judiciaire de Saint-Hyacinthe.</w:t>
      </w:r>
    </w:p>
    <w:p>
      <w:pPr>
        <w:spacing w:after="0" w:line="276"/>
      </w:pPr>
      <w:r>
        <w:rPr>
          <w:rFonts w:ascii="Calibri" w:cs="Calibri" w:eastAsia="Calibri" w:hAnsi="Calibri"/>
          <w:i/>
          <w:iCs/>
          <w:sz w:val="20"/>
          <w:szCs w:val="20"/>
        </w:rPr>
        <w:t xml:space="preserve">Dernière mise à jour : 28 juillet 2026.</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76" w:hanging="431"/>
      </w:pPr>
    </w:lvl>
  </w:abstractNum>
  <w:abstractNum w:abstractNumId="3" w15:restartNumberingAfterBreak="0">
    <w:multiLevelType w:val="hybridMultilevel"/>
    <w:lvl w:ilvl="0" w15:tentative="1">
      <w:start w:val="1"/>
      <w:numFmt w:val="decimal"/>
      <w:lvlText w:val="%1."/>
      <w:lvlJc w:val="start"/>
      <w:pPr>
        <w:ind w:left="576" w:hanging="431"/>
      </w:pPr>
    </w:lvl>
  </w:abstractNum>
  <w:abstractNum w:abstractNumId="4" w15:restartNumberingAfterBreak="0">
    <w:multiLevelType w:val="hybridMultilevel"/>
    <w:lvl w:ilvl="0" w15:tentative="1">
      <w:start w:val="1"/>
      <w:numFmt w:val="decimal"/>
      <w:lvlText w:val="%1."/>
      <w:lvlJc w:val="start"/>
      <w:pPr>
        <w:ind w:left="576" w:hanging="431"/>
      </w:pPr>
    </w:lvl>
  </w:abstractNum>
  <w:abstractNum w:abstractNumId="5" w15:restartNumberingAfterBreak="0">
    <w:multiLevelType w:val="hybridMultilevel"/>
    <w:lvl w:ilvl="0" w15:tentative="1">
      <w:start w:val="1"/>
      <w:numFmt w:val="decimal"/>
      <w:lvlText w:val="%1."/>
      <w:lvlJc w:val="start"/>
      <w:pPr>
        <w:ind w:left="576" w:hanging="431"/>
      </w:pPr>
    </w:lvl>
  </w:abstractNum>
  <w:abstractNum w:abstractNumId="6" w15:restartNumberingAfterBreak="0">
    <w:multiLevelType w:val="hybridMultilevel"/>
    <w:lvl w:ilvl="0" w15:tentative="1">
      <w:start w:val="1"/>
      <w:numFmt w:val="decimal"/>
      <w:lvlText w:val="%1."/>
      <w:lvlJc w:val="start"/>
      <w:pPr>
        <w:ind w:left="576" w:hanging="431"/>
      </w:pPr>
    </w:lvl>
  </w:abstractNum>
  <w:abstractNum w:abstractNumId="7" w15:restartNumberingAfterBreak="0">
    <w:multiLevelType w:val="hybridMultilevel"/>
    <w:lvl w:ilvl="0" w15:tentative="1">
      <w:start w:val="1"/>
      <w:numFmt w:val="decimal"/>
      <w:lvlText w:val="%1."/>
      <w:lvlJc w:val="start"/>
      <w:pPr>
        <w:ind w:left="576" w:hanging="431"/>
      </w:pPr>
    </w:lvl>
  </w:abstractNum>
  <w:abstractNum w:abstractNumId="8" w15:restartNumberingAfterBreak="0">
    <w:multiLevelType w:val="hybridMultilevel"/>
    <w:lvl w:ilvl="0" w15:tentative="1">
      <w:start w:val="1"/>
      <w:numFmt w:val="decimal"/>
      <w:lvlText w:val="%1."/>
      <w:lvlJc w:val="start"/>
      <w:pPr>
        <w:ind w:left="576" w:hanging="431"/>
      </w:pPr>
    </w:lvl>
  </w:abstractNum>
  <w:abstractNum w:abstractNumId="9" w15:restartNumberingAfterBreak="0">
    <w:multiLevelType w:val="hybridMultilevel"/>
    <w:lvl w:ilvl="0" w15:tentative="1">
      <w:start w:val="1"/>
      <w:numFmt w:val="decimal"/>
      <w:lvlText w:val="%1."/>
      <w:lvlJc w:val="start"/>
      <w:pPr>
        <w:ind w:left="576" w:hanging="431"/>
      </w:pPr>
    </w:lvl>
  </w:abstractNum>
  <w:abstractNum w:abstractNumId="10" w15:restartNumberingAfterBreak="0">
    <w:multiLevelType w:val="hybridMultilevel"/>
    <w:lvl w:ilvl="0" w15:tentative="1">
      <w:start w:val="1"/>
      <w:numFmt w:val="decimal"/>
      <w:lvlText w:val="%1."/>
      <w:lvlJc w:val="start"/>
      <w:pPr>
        <w:ind w:left="576" w:hanging="431"/>
      </w:pPr>
    </w:lvl>
  </w:abstractNum>
  <w:abstractNum w:abstractNumId="11" w15:restartNumberingAfterBreak="0">
    <w:multiLevelType w:val="hybridMultilevel"/>
    <w:lvl w:ilvl="0" w15:tentative="1">
      <w:start w:val="1"/>
      <w:numFmt w:val="decimal"/>
      <w:lvlText w:val="%1."/>
      <w:lvlJc w:val="start"/>
      <w:pPr>
        <w:ind w:left="576" w:hanging="431"/>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 w:numId="9">
    <w:abstractNumId w:val="9"/>
    <w:lvlOverride w:ilvl="0">
      <w:startOverride w:val="1"/>
    </w:lvlOverride>
  </w:num>
  <w:num w:numId="10">
    <w:abstractNumId w:val="10"/>
    <w:lvlOverride w:ilvl="0">
      <w:startOverride w:val="1"/>
    </w:lvlOverride>
  </w:num>
  <w:num w:numId="11">
    <w:abstractNumId w:val="1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f64dc8a9b00736b2342165300eeefbbf52f28d0d.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2026-07-28T14:12:50.786Z</dcterms:created>
  <dcterms:modified xsi:type="dcterms:W3CDTF">2026-07-28T14:12:50.787Z</dcterms:modified>
</cp:coreProperties>
</file>

<file path=docProps/custom.xml><?xml version="1.0" encoding="utf-8"?>
<Properties xmlns="http://schemas.openxmlformats.org/officeDocument/2006/custom-properties" xmlns:vt="http://schemas.openxmlformats.org/officeDocument/2006/docPropsVTypes"/>
</file>