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left"/>
      </w:pPr>
      <w:r>
        <w:drawing>
          <wp:inline distT="0" distB="0" distL="0" distR="0">
            <wp:extent cx="12954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95400" cy="666750"/>
                    </a:xfrm>
                    <a:prstGeom prst="rect">
                      <a:avLst/>
                    </a:prstGeom>
                  </pic:spPr>
                </pic:pic>
              </a:graphicData>
            </a:graphic>
          </wp:inline>
        </w:drawing>
      </w:r>
    </w:p>
    <w:p>
      <w:pPr>
        <w:spacing w:after="40" w:line="276"/>
      </w:pPr>
      <w:r>
        <w:rPr>
          <w:rFonts w:ascii="Calibri" w:cs="Calibri" w:eastAsia="Calibri" w:hAnsi="Calibri"/>
          <w:b/>
          <w:bCs/>
          <w:sz w:val="20"/>
          <w:szCs w:val="20"/>
        </w:rPr>
        <w:t xml:space="preserve">9564-8853 QUÉBEC INC. (carrying on business as RÉACTIVIX — Courtier IA)</w:t>
      </w:r>
    </w:p>
    <w:p>
      <w:pPr>
        <w:spacing w:after="400" w:line="276"/>
      </w:pPr>
      <w:r>
        <w:rPr>
          <w:rFonts w:ascii="Calibri" w:cs="Calibri" w:eastAsia="Calibri" w:hAnsi="Calibri"/>
          <w:sz w:val="20"/>
          <w:szCs w:val="20"/>
        </w:rPr>
        <w:t xml:space="preserve">505 rue du Golf, Mont-Saint-Hilaire (Québec) Canada J3H 6A6</w:t>
      </w:r>
    </w:p>
    <w:p>
      <w:pPr>
        <w:pStyle w:val="Title"/>
        <w:spacing w:after="300"/>
        <w:jc w:val="center"/>
      </w:pPr>
      <w:r>
        <w:rPr>
          <w:rFonts w:ascii="Calibri" w:cs="Calibri" w:eastAsia="Calibri" w:hAnsi="Calibri"/>
          <w:b/>
          <w:bCs/>
          <w:sz w:val="30"/>
          <w:szCs w:val="30"/>
        </w:rPr>
        <w:t xml:space="preserve">SUBSCRIPTION TERMS — COURTIER IA</w:t>
      </w:r>
    </w:p>
    <w:p>
      <w:pPr>
        <w:spacing w:after="200" w:line="276"/>
      </w:pPr>
      <w:r>
        <w:rPr>
          <w:rFonts w:ascii="Calibri" w:cs="Calibri" w:eastAsia="Calibri" w:hAnsi="Calibri"/>
          <w:sz w:val="22"/>
          <w:szCs w:val="22"/>
        </w:rPr>
        <w:t xml:space="preserve">These Subscription Terms (the “Terms”) constitute a legally binding agreement between 9564-8853 Québec inc., carrying on business as Réactivix — Courtier IA (the “Provider” or “Réactivix”), and any individual or legal entity who completes the registration form on courtieria.com and pays for a Plan (the “Client”). By checking the box “I accept the Subscription Terms” and completing payment, the Client acknowledges having read, understood, and accepted these Terms in their entirety.</w:t>
      </w:r>
    </w:p>
    <w:p>
      <w:pPr>
        <w:spacing w:after="200" w:line="276"/>
      </w:pPr>
      <w:r>
        <w:rPr>
          <w:rFonts w:ascii="Calibri" w:cs="Calibri" w:eastAsia="Calibri" w:hAnsi="Calibri"/>
          <w:sz w:val="22"/>
          <w:szCs w:val="22"/>
        </w:rPr>
        <w:t xml:space="preserve">This electronic acceptance, time-stamped and associated with the Client's IP address at the time of payment, constitutes a valid electronic signature within the meaning of Québec's Act to establish a legal framework for information technology (CQLR, c. C-1.1) and articles 2827 to 2839 of the Civil Code of Québec relating to technology-based evidence. No handwritten signature is required for the formation of this agreement.</w:t>
      </w:r>
    </w:p>
    <w:p>
      <w:pPr>
        <w:pStyle w:val="Heading1"/>
        <w:spacing w:after="150" w:before="300"/>
      </w:pPr>
      <w:r>
        <w:rPr>
          <w:rFonts w:ascii="Calibri" w:cs="Calibri" w:eastAsia="Calibri" w:hAnsi="Calibri"/>
          <w:b/>
          <w:bCs/>
        </w:rPr>
        <w:t xml:space="preserve">1. DEFINITIONS</w:t>
      </w:r>
    </w:p>
    <w:p>
      <w:pPr>
        <w:pStyle w:val="ListParagraph"/>
        <w:numPr>
          <w:ilvl w:val="0"/>
          <w:numId w:val="2"/>
        </w:numPr>
        <w:spacing w:after="120" w:line="276"/>
      </w:pPr>
      <w:r>
        <w:rPr>
          <w:rFonts w:ascii="Calibri" w:cs="Calibri" w:eastAsia="Calibri" w:hAnsi="Calibri"/>
          <w:b/>
          <w:bCs/>
          <w:sz w:val="22"/>
          <w:szCs w:val="22"/>
        </w:rPr>
        <w:t xml:space="preserve">"Subscription": </w:t>
      </w:r>
      <w:r>
        <w:rPr>
          <w:rFonts w:ascii="Calibri" w:cs="Calibri" w:eastAsia="Calibri" w:hAnsi="Calibri"/>
          <w:sz w:val="22"/>
          <w:szCs w:val="22"/>
        </w:rPr>
        <w:t xml:space="preserve">the Client's recurring monthly enrollment in a Plan, active from the initial payment and automatically renewed in accordance with Article 8;</w:t>
      </w:r>
    </w:p>
    <w:p>
      <w:pPr>
        <w:pStyle w:val="ListParagraph"/>
        <w:numPr>
          <w:ilvl w:val="0"/>
          <w:numId w:val="2"/>
        </w:numPr>
        <w:spacing w:after="120" w:line="276"/>
      </w:pPr>
      <w:r>
        <w:rPr>
          <w:rFonts w:ascii="Calibri" w:cs="Calibri" w:eastAsia="Calibri" w:hAnsi="Calibri"/>
          <w:b/>
          <w:bCs/>
          <w:sz w:val="22"/>
          <w:szCs w:val="22"/>
        </w:rPr>
        <w:t xml:space="preserve">"Client": </w:t>
      </w:r>
      <w:r>
        <w:rPr>
          <w:rFonts w:ascii="Calibri" w:cs="Calibri" w:eastAsia="Calibri" w:hAnsi="Calibri"/>
          <w:sz w:val="22"/>
          <w:szCs w:val="22"/>
        </w:rPr>
        <w:t xml:space="preserve">has the meaning given to it in the preamble hereof;</w:t>
      </w:r>
    </w:p>
    <w:p>
      <w:pPr>
        <w:pStyle w:val="ListParagraph"/>
        <w:numPr>
          <w:ilvl w:val="0"/>
          <w:numId w:val="2"/>
        </w:numPr>
        <w:spacing w:after="120" w:line="276"/>
      </w:pPr>
      <w:r>
        <w:rPr>
          <w:rFonts w:ascii="Calibri" w:cs="Calibri" w:eastAsia="Calibri" w:hAnsi="Calibri"/>
          <w:b/>
          <w:bCs/>
          <w:sz w:val="22"/>
          <w:szCs w:val="22"/>
        </w:rPr>
        <w:t xml:space="preserve">"Terms": </w:t>
      </w:r>
      <w:r>
        <w:rPr>
          <w:rFonts w:ascii="Calibri" w:cs="Calibri" w:eastAsia="Calibri" w:hAnsi="Calibri"/>
          <w:sz w:val="22"/>
          <w:szCs w:val="22"/>
        </w:rPr>
        <w:t xml:space="preserve">these Subscription Terms, including any schedule or pricing page incorporated herein by reference;</w:t>
      </w:r>
    </w:p>
    <w:p>
      <w:pPr>
        <w:pStyle w:val="ListParagraph"/>
        <w:numPr>
          <w:ilvl w:val="0"/>
          <w:numId w:val="2"/>
        </w:numPr>
        <w:spacing w:after="120" w:line="276"/>
      </w:pPr>
      <w:r>
        <w:rPr>
          <w:rFonts w:ascii="Calibri" w:cs="Calibri" w:eastAsia="Calibri" w:hAnsi="Calibri"/>
          <w:b/>
          <w:bCs/>
          <w:sz w:val="22"/>
          <w:szCs w:val="22"/>
        </w:rPr>
        <w:t xml:space="preserve">"Plan": </w:t>
      </w:r>
      <w:r>
        <w:rPr>
          <w:rFonts w:ascii="Calibri" w:cs="Calibri" w:eastAsia="Calibri" w:hAnsi="Calibri"/>
          <w:sz w:val="22"/>
          <w:szCs w:val="22"/>
        </w:rPr>
        <w:t xml:space="preserve">one of the plans offered by the Provider, namely Lone Broker, Broker VIP or Agency VIP, as described on the courtieria.com/#pricing page and confirmed on the payment screen at the time of registration;</w:t>
      </w:r>
    </w:p>
    <w:p>
      <w:pPr>
        <w:pStyle w:val="ListParagraph"/>
        <w:numPr>
          <w:ilvl w:val="0"/>
          <w:numId w:val="2"/>
        </w:numPr>
        <w:spacing w:after="120" w:line="276"/>
      </w:pPr>
      <w:r>
        <w:rPr>
          <w:rFonts w:ascii="Calibri" w:cs="Calibri" w:eastAsia="Calibri" w:hAnsi="Calibri"/>
          <w:b/>
          <w:bCs/>
          <w:sz w:val="22"/>
          <w:szCs w:val="22"/>
        </w:rPr>
        <w:t xml:space="preserve">"Provider or Réactivix": </w:t>
      </w:r>
      <w:r>
        <w:rPr>
          <w:rFonts w:ascii="Calibri" w:cs="Calibri" w:eastAsia="Calibri" w:hAnsi="Calibri"/>
          <w:sz w:val="22"/>
          <w:szCs w:val="22"/>
        </w:rPr>
        <w:t xml:space="preserve">has the meaning given to it in the preamble hereof;</w:t>
      </w:r>
    </w:p>
    <w:p>
      <w:pPr>
        <w:pStyle w:val="ListParagraph"/>
        <w:numPr>
          <w:ilvl w:val="0"/>
          <w:numId w:val="2"/>
        </w:numPr>
        <w:spacing w:after="120" w:line="276"/>
      </w:pPr>
      <w:r>
        <w:rPr>
          <w:rFonts w:ascii="Calibri" w:cs="Calibri" w:eastAsia="Calibri" w:hAnsi="Calibri"/>
          <w:b/>
          <w:bCs/>
          <w:sz w:val="22"/>
          <w:szCs w:val="22"/>
        </w:rPr>
        <w:t xml:space="preserve">"Setup Fee": </w:t>
      </w:r>
      <w:r>
        <w:rPr>
          <w:rFonts w:ascii="Calibri" w:cs="Calibri" w:eastAsia="Calibri" w:hAnsi="Calibri"/>
          <w:sz w:val="22"/>
          <w:szCs w:val="22"/>
        </w:rPr>
        <w:t xml:space="preserve">the one-time fee payable upon registration for the initial implementation of the selected Plan, where applicable;</w:t>
      </w:r>
    </w:p>
    <w:p>
      <w:pPr>
        <w:pStyle w:val="ListParagraph"/>
        <w:numPr>
          <w:ilvl w:val="0"/>
          <w:numId w:val="2"/>
        </w:numPr>
        <w:spacing w:after="120" w:line="276"/>
      </w:pPr>
      <w:r>
        <w:rPr>
          <w:rFonts w:ascii="Calibri" w:cs="Calibri" w:eastAsia="Calibri" w:hAnsi="Calibri"/>
          <w:b/>
          <w:bCs/>
          <w:sz w:val="22"/>
          <w:szCs w:val="22"/>
        </w:rPr>
        <w:t xml:space="preserve">"AI": </w:t>
      </w:r>
      <w:r>
        <w:rPr>
          <w:rFonts w:ascii="Calibri" w:cs="Calibri" w:eastAsia="Calibri" w:hAnsi="Calibri"/>
          <w:sz w:val="22"/>
          <w:szCs w:val="22"/>
        </w:rPr>
        <w:t xml:space="preserve">artificial intelligence;</w:t>
      </w:r>
    </w:p>
    <w:p>
      <w:pPr>
        <w:pStyle w:val="ListParagraph"/>
        <w:numPr>
          <w:ilvl w:val="0"/>
          <w:numId w:val="2"/>
        </w:numPr>
        <w:spacing w:after="120" w:line="276"/>
      </w:pPr>
      <w:r>
        <w:rPr>
          <w:rFonts w:ascii="Calibri" w:cs="Calibri" w:eastAsia="Calibri" w:hAnsi="Calibri"/>
          <w:b/>
          <w:bCs/>
          <w:sz w:val="22"/>
          <w:szCs w:val="22"/>
        </w:rPr>
        <w:t xml:space="preserve">"CASL": </w:t>
      </w:r>
      <w:r>
        <w:rPr>
          <w:rFonts w:ascii="Calibri" w:cs="Calibri" w:eastAsia="Calibri" w:hAnsi="Calibri"/>
          <w:sz w:val="22"/>
          <w:szCs w:val="22"/>
        </w:rPr>
        <w:t xml:space="preserve">An Act to promote the efficiency and adaptability of the Canadian economy by regulating certain activities that discourage reliance on electronic means of carrying out commercial activities (S.C. 2010, c. 23);</w:t>
      </w:r>
    </w:p>
    <w:p>
      <w:pPr>
        <w:pStyle w:val="ListParagraph"/>
        <w:numPr>
          <w:ilvl w:val="0"/>
          <w:numId w:val="2"/>
        </w:numPr>
        <w:spacing w:after="120" w:line="276"/>
      </w:pPr>
      <w:r>
        <w:rPr>
          <w:rFonts w:ascii="Calibri" w:cs="Calibri" w:eastAsia="Calibri" w:hAnsi="Calibri"/>
          <w:b/>
          <w:bCs/>
          <w:sz w:val="22"/>
          <w:szCs w:val="22"/>
        </w:rPr>
        <w:t xml:space="preserve">"Privacy Laws": </w:t>
      </w:r>
      <w:r>
        <w:rPr>
          <w:rFonts w:ascii="Calibri" w:cs="Calibri" w:eastAsia="Calibri" w:hAnsi="Calibri"/>
          <w:sz w:val="22"/>
          <w:szCs w:val="22"/>
        </w:rPr>
        <w:t xml:space="preserve">the Personal Information Protection and Electronic Documents Act (Canada), the Act respecting the protection of personal information in the private sector (Québec), and any similar applicable legislation;</w:t>
      </w:r>
    </w:p>
    <w:p>
      <w:pPr>
        <w:pStyle w:val="ListParagraph"/>
        <w:numPr>
          <w:ilvl w:val="0"/>
          <w:numId w:val="2"/>
        </w:numPr>
        <w:spacing w:after="120" w:line="276"/>
      </w:pPr>
      <w:r>
        <w:rPr>
          <w:rFonts w:ascii="Calibri" w:cs="Calibri" w:eastAsia="Calibri" w:hAnsi="Calibri"/>
          <w:b/>
          <w:bCs/>
          <w:sz w:val="22"/>
          <w:szCs w:val="22"/>
        </w:rPr>
        <w:t xml:space="preserve">"Platform": </w:t>
      </w:r>
      <w:r>
        <w:rPr>
          <w:rFonts w:ascii="Calibri" w:cs="Calibri" w:eastAsia="Calibri" w:hAnsi="Calibri"/>
          <w:sz w:val="22"/>
          <w:szCs w:val="22"/>
        </w:rPr>
        <w:t xml:space="preserve">the full set of technology systems and tools used by the Provider to deliver the Services, including the Go High Level CRM and the voice AI and conversational AI services;</w:t>
      </w:r>
    </w:p>
    <w:p>
      <w:pPr>
        <w:pStyle w:val="ListParagraph"/>
        <w:numPr>
          <w:ilvl w:val="0"/>
          <w:numId w:val="2"/>
        </w:numPr>
        <w:spacing w:after="120" w:line="276"/>
      </w:pPr>
      <w:r>
        <w:rPr>
          <w:rFonts w:ascii="Calibri" w:cs="Calibri" w:eastAsia="Calibri" w:hAnsi="Calibri"/>
          <w:b/>
          <w:bCs/>
          <w:sz w:val="22"/>
          <w:szCs w:val="22"/>
        </w:rPr>
        <w:t xml:space="preserve">"Intellectual Property": </w:t>
      </w:r>
      <w:r>
        <w:rPr>
          <w:rFonts w:ascii="Calibri" w:cs="Calibri" w:eastAsia="Calibri" w:hAnsi="Calibri"/>
          <w:sz w:val="22"/>
          <w:szCs w:val="22"/>
        </w:rPr>
        <w:t xml:space="preserve">all rights, titles and interests in trademarks, patents, software, source code, algorithms, AI models, data, databases and other intellectual assets used in the delivery of the Services;</w:t>
      </w:r>
    </w:p>
    <w:p>
      <w:pPr>
        <w:pStyle w:val="ListParagraph"/>
        <w:numPr>
          <w:ilvl w:val="0"/>
          <w:numId w:val="2"/>
        </w:numPr>
        <w:spacing w:after="120" w:line="276"/>
      </w:pPr>
      <w:r>
        <w:rPr>
          <w:rFonts w:ascii="Calibri" w:cs="Calibri" w:eastAsia="Calibri" w:hAnsi="Calibri"/>
          <w:b/>
          <w:bCs/>
          <w:sz w:val="22"/>
          <w:szCs w:val="22"/>
        </w:rPr>
        <w:t xml:space="preserve">"Personal Information": </w:t>
      </w:r>
      <w:r>
        <w:rPr>
          <w:rFonts w:ascii="Calibri" w:cs="Calibri" w:eastAsia="Calibri" w:hAnsi="Calibri"/>
          <w:sz w:val="22"/>
          <w:szCs w:val="22"/>
        </w:rPr>
        <w:t xml:space="preserve">any information relating to an identified or identifiable individual, as defined under applicable Privacy Laws;</w:t>
      </w:r>
    </w:p>
    <w:p>
      <w:pPr>
        <w:pStyle w:val="ListParagraph"/>
        <w:numPr>
          <w:ilvl w:val="0"/>
          <w:numId w:val="2"/>
        </w:numPr>
        <w:spacing w:after="120" w:line="276"/>
      </w:pPr>
      <w:r>
        <w:rPr>
          <w:rFonts w:ascii="Calibri" w:cs="Calibri" w:eastAsia="Calibri" w:hAnsi="Calibri"/>
          <w:b/>
          <w:bCs/>
          <w:sz w:val="22"/>
          <w:szCs w:val="22"/>
        </w:rPr>
        <w:t xml:space="preserve">"Services": </w:t>
      </w:r>
      <w:r>
        <w:rPr>
          <w:rFonts w:ascii="Calibri" w:cs="Calibri" w:eastAsia="Calibri" w:hAnsi="Calibri"/>
          <w:sz w:val="22"/>
          <w:szCs w:val="22"/>
        </w:rPr>
        <w:t xml:space="preserve">the voice AI, conversational AI, SMS response, appointment booking and client outreach services included in the Client's Plan, as described on courtieria.com;</w:t>
      </w:r>
    </w:p>
    <w:p>
      <w:pPr>
        <w:pStyle w:val="Heading1"/>
        <w:spacing w:after="150" w:before="300"/>
      </w:pPr>
      <w:r>
        <w:rPr>
          <w:rFonts w:ascii="Calibri" w:cs="Calibri" w:eastAsia="Calibri" w:hAnsi="Calibri"/>
          <w:b/>
          <w:bCs/>
        </w:rPr>
        <w:t xml:space="preserve">2. PURPOSE</w:t>
      </w:r>
    </w:p>
    <w:p>
      <w:pPr>
        <w:pStyle w:val="ListParagraph"/>
        <w:numPr>
          <w:ilvl w:val="0"/>
          <w:numId w:val="3"/>
        </w:numPr>
        <w:spacing w:after="140" w:line="276"/>
      </w:pPr>
      <w:r>
        <w:rPr>
          <w:rFonts w:ascii="Calibri" w:cs="Calibri" w:eastAsia="Calibri" w:hAnsi="Calibri"/>
          <w:sz w:val="22"/>
          <w:szCs w:val="22"/>
        </w:rPr>
        <w:t xml:space="preserve">The Provider operates Courtier IA, a SaaS platform for mortgage, real estate and insurance brokers, offering a 24/7 AI voice agent, automated appointment booking, SMS response and, depending on the selected Plan, reactivation of the Client's existing customer base and access to the renewal validation tool.</w:t>
      </w:r>
    </w:p>
    <w:p>
      <w:pPr>
        <w:pStyle w:val="ListParagraph"/>
        <w:numPr>
          <w:ilvl w:val="0"/>
          <w:numId w:val="3"/>
        </w:numPr>
        <w:spacing w:after="140" w:line="276"/>
      </w:pPr>
      <w:r>
        <w:rPr>
          <w:rFonts w:ascii="Calibri" w:cs="Calibri" w:eastAsia="Calibri" w:hAnsi="Calibri"/>
          <w:sz w:val="22"/>
          <w:szCs w:val="22"/>
        </w:rPr>
        <w:t xml:space="preserve">The exact scope of the Services, their price and any applicable limits (number of brokers included, minutes, etc.) are those displayed on courtieria.com and confirmed on the payment screen. In the event of any discrepancy between this document and the order confirmation sent to the Client by email, the latter shall prevail as to price and the Plan subscribed to.</w:t>
      </w:r>
    </w:p>
    <w:p>
      <w:pPr>
        <w:pStyle w:val="Heading1"/>
        <w:spacing w:after="150" w:before="300"/>
      </w:pPr>
      <w:r>
        <w:rPr>
          <w:rFonts w:ascii="Calibri" w:cs="Calibri" w:eastAsia="Calibri" w:hAnsi="Calibri"/>
          <w:b/>
          <w:bCs/>
        </w:rPr>
        <w:t xml:space="preserve">3. CLIENT OBLIGATIONS</w:t>
      </w:r>
    </w:p>
    <w:p>
      <w:pPr>
        <w:pStyle w:val="ListParagraph"/>
        <w:numPr>
          <w:ilvl w:val="0"/>
          <w:numId w:val="4"/>
        </w:numPr>
        <w:spacing w:after="140" w:line="276"/>
      </w:pPr>
      <w:r>
        <w:rPr>
          <w:rFonts w:ascii="Calibri" w:cs="Calibri" w:eastAsia="Calibri" w:hAnsi="Calibri"/>
          <w:sz w:val="22"/>
          <w:szCs w:val="22"/>
        </w:rPr>
        <w:t xml:space="preserve">Obtain and maintain all consents required for the collection, use and disclosure of Personal Information of its own customers or prospects processed through the Services, in compliance with CASL and applicable Privacy Laws;</w:t>
      </w:r>
    </w:p>
    <w:p>
      <w:pPr>
        <w:pStyle w:val="ListParagraph"/>
        <w:numPr>
          <w:ilvl w:val="0"/>
          <w:numId w:val="4"/>
        </w:numPr>
        <w:spacing w:after="140" w:line="276"/>
      </w:pPr>
      <w:r>
        <w:rPr>
          <w:rFonts w:ascii="Calibri" w:cs="Calibri" w:eastAsia="Calibri" w:hAnsi="Calibri"/>
          <w:sz w:val="22"/>
          <w:szCs w:val="22"/>
        </w:rPr>
        <w:t xml:space="preserve">Ensure that any information provided to the Provider (contact details, content, scripts, client data) is accurate, complete and lawfully obtained;</w:t>
      </w:r>
    </w:p>
    <w:p>
      <w:pPr>
        <w:pStyle w:val="ListParagraph"/>
        <w:numPr>
          <w:ilvl w:val="0"/>
          <w:numId w:val="4"/>
        </w:numPr>
        <w:spacing w:after="140" w:line="276"/>
      </w:pPr>
      <w:r>
        <w:rPr>
          <w:rFonts w:ascii="Calibri" w:cs="Calibri" w:eastAsia="Calibri" w:hAnsi="Calibri"/>
          <w:sz w:val="22"/>
          <w:szCs w:val="22"/>
        </w:rPr>
        <w:t xml:space="preserve">Refrain from any unlawful, fraudulent use of the Services or any use likely to give rise to the Provider's liability;</w:t>
      </w:r>
    </w:p>
    <w:p>
      <w:pPr>
        <w:pStyle w:val="ListParagraph"/>
        <w:numPr>
          <w:ilvl w:val="0"/>
          <w:numId w:val="4"/>
        </w:numPr>
        <w:spacing w:after="140" w:line="276"/>
      </w:pPr>
      <w:r>
        <w:rPr>
          <w:rFonts w:ascii="Calibri" w:cs="Calibri" w:eastAsia="Calibri" w:hAnsi="Calibri"/>
          <w:sz w:val="22"/>
          <w:szCs w:val="22"/>
        </w:rPr>
        <w:t xml:space="preserve">Keep a valid payment method on file for the duration of the Subscription.</w:t>
      </w:r>
    </w:p>
    <w:p>
      <w:pPr>
        <w:pStyle w:val="Heading1"/>
        <w:spacing w:after="150" w:before="300"/>
      </w:pPr>
      <w:r>
        <w:rPr>
          <w:rFonts w:ascii="Calibri" w:cs="Calibri" w:eastAsia="Calibri" w:hAnsi="Calibri"/>
          <w:b/>
          <w:bCs/>
        </w:rPr>
        <w:t xml:space="preserve">4. PROVIDER OBLIGATIONS</w:t>
      </w:r>
    </w:p>
    <w:p>
      <w:pPr>
        <w:pStyle w:val="ListParagraph"/>
        <w:numPr>
          <w:ilvl w:val="0"/>
          <w:numId w:val="5"/>
        </w:numPr>
        <w:spacing w:after="140" w:line="276"/>
      </w:pPr>
      <w:r>
        <w:rPr>
          <w:rFonts w:ascii="Calibri" w:cs="Calibri" w:eastAsia="Calibri" w:hAnsi="Calibri"/>
          <w:sz w:val="22"/>
          <w:szCs w:val="22"/>
        </w:rPr>
        <w:t xml:space="preserve">Activate the selected Plan within seven (7) business days of receiving full payment of the Setup Fee (where applicable) and the necessary information from the Client;</w:t>
      </w:r>
    </w:p>
    <w:p>
      <w:pPr>
        <w:pStyle w:val="ListParagraph"/>
        <w:numPr>
          <w:ilvl w:val="0"/>
          <w:numId w:val="5"/>
        </w:numPr>
        <w:spacing w:after="140" w:line="276"/>
      </w:pPr>
      <w:r>
        <w:rPr>
          <w:rFonts w:ascii="Calibri" w:cs="Calibri" w:eastAsia="Calibri" w:hAnsi="Calibri"/>
          <w:sz w:val="22"/>
          <w:szCs w:val="22"/>
        </w:rPr>
        <w:t xml:space="preserve">Provide technical support from 9:00 a.m. to 5:00 p.m. Eastern Time, with a maximum response time of two (2) hours for any critical incident (complete failure of the voice or conversational service);</w:t>
      </w:r>
    </w:p>
    <w:p>
      <w:pPr>
        <w:pStyle w:val="ListParagraph"/>
        <w:numPr>
          <w:ilvl w:val="0"/>
          <w:numId w:val="5"/>
        </w:numPr>
        <w:spacing w:after="140" w:line="276"/>
      </w:pPr>
      <w:r>
        <w:rPr>
          <w:rFonts w:ascii="Calibri" w:cs="Calibri" w:eastAsia="Calibri" w:hAnsi="Calibri"/>
          <w:sz w:val="22"/>
          <w:szCs w:val="22"/>
        </w:rPr>
        <w:t xml:space="preserve">Maintain the Platform in accordance with industry best practices, without however guaranteeing uninterrupted availability (see Article 9 — Limitation of Liability).</w:t>
      </w:r>
    </w:p>
    <w:p>
      <w:pPr>
        <w:pStyle w:val="Heading1"/>
        <w:spacing w:after="150" w:before="300"/>
      </w:pPr>
      <w:r>
        <w:rPr>
          <w:rFonts w:ascii="Calibri" w:cs="Calibri" w:eastAsia="Calibri" w:hAnsi="Calibri"/>
          <w:b/>
          <w:bCs/>
        </w:rPr>
        <w:t xml:space="preserve">5. INTELLECTUAL PROPERTY</w:t>
      </w:r>
    </w:p>
    <w:p>
      <w:pPr>
        <w:pStyle w:val="ListParagraph"/>
        <w:numPr>
          <w:ilvl w:val="0"/>
          <w:numId w:val="6"/>
        </w:numPr>
        <w:spacing w:after="140" w:line="276"/>
      </w:pPr>
      <w:r>
        <w:rPr>
          <w:rFonts w:ascii="Calibri" w:cs="Calibri" w:eastAsia="Calibri" w:hAnsi="Calibri"/>
          <w:sz w:val="22"/>
          <w:szCs w:val="22"/>
        </w:rPr>
        <w:t xml:space="preserve">All rights, titles and interests in the Services, the Platform, the AI models, algorithms and documentation remain the exclusive property of the Provider.</w:t>
      </w:r>
    </w:p>
    <w:p>
      <w:pPr>
        <w:pStyle w:val="ListParagraph"/>
        <w:numPr>
          <w:ilvl w:val="0"/>
          <w:numId w:val="6"/>
        </w:numPr>
        <w:spacing w:after="140" w:line="276"/>
      </w:pPr>
      <w:r>
        <w:rPr>
          <w:rFonts w:ascii="Calibri" w:cs="Calibri" w:eastAsia="Calibri" w:hAnsi="Calibri"/>
          <w:sz w:val="22"/>
          <w:szCs w:val="22"/>
        </w:rPr>
        <w:t xml:space="preserve">Subject to timely payment of all amounts due, the Provider grants the Client a limited, non-exclusive, non-transferable and revocable licence to use the Services for internal business purposes for the duration of the Subscription.</w:t>
      </w:r>
    </w:p>
    <w:p>
      <w:pPr>
        <w:pStyle w:val="Heading1"/>
        <w:spacing w:after="150" w:before="300"/>
      </w:pPr>
      <w:r>
        <w:rPr>
          <w:rFonts w:ascii="Calibri" w:cs="Calibri" w:eastAsia="Calibri" w:hAnsi="Calibri"/>
          <w:b/>
          <w:bCs/>
        </w:rPr>
        <w:t xml:space="preserve">6. DATA PROTECTION AND CONFIDENTIALITY</w:t>
      </w:r>
    </w:p>
    <w:p>
      <w:pPr>
        <w:pStyle w:val="ListParagraph"/>
        <w:numPr>
          <w:ilvl w:val="0"/>
          <w:numId w:val="7"/>
        </w:numPr>
        <w:spacing w:after="140" w:line="276"/>
      </w:pPr>
      <w:r>
        <w:rPr>
          <w:rFonts w:ascii="Calibri" w:cs="Calibri" w:eastAsia="Calibri" w:hAnsi="Calibri"/>
          <w:sz w:val="22"/>
          <w:szCs w:val="22"/>
        </w:rPr>
        <w:t xml:space="preserve">The Provider undertakes to keep Personal Information processed under the Services in a secure environment, to restrict access to personnel whose duties require it, and to process such data only in accordance with the Client's documented instructions;</w:t>
      </w:r>
    </w:p>
    <w:p>
      <w:pPr>
        <w:pStyle w:val="ListParagraph"/>
        <w:numPr>
          <w:ilvl w:val="0"/>
          <w:numId w:val="7"/>
        </w:numPr>
        <w:spacing w:after="140" w:line="276"/>
      </w:pPr>
      <w:r>
        <w:rPr>
          <w:rFonts w:ascii="Calibri" w:cs="Calibri" w:eastAsia="Calibri" w:hAnsi="Calibri"/>
          <w:sz w:val="22"/>
          <w:szCs w:val="22"/>
        </w:rPr>
        <w:t xml:space="preserve">The Provider will notify the Client of any data breach within forty-eight (48) hours of discovering it;</w:t>
      </w:r>
    </w:p>
    <w:p>
      <w:pPr>
        <w:pStyle w:val="ListParagraph"/>
        <w:numPr>
          <w:ilvl w:val="0"/>
          <w:numId w:val="7"/>
        </w:numPr>
        <w:spacing w:after="140" w:line="276"/>
      </w:pPr>
      <w:r>
        <w:rPr>
          <w:rFonts w:ascii="Calibri" w:cs="Calibri" w:eastAsia="Calibri" w:hAnsi="Calibri"/>
          <w:sz w:val="22"/>
          <w:szCs w:val="22"/>
        </w:rPr>
        <w:t xml:space="preserve">The Client warrants that it holds all consents necessary in respect of the data it transmits to the Provider, and will defend, indemnify and hold the Provider harmless against any claim arising from a failure in this regard;</w:t>
      </w:r>
    </w:p>
    <w:p>
      <w:pPr>
        <w:pStyle w:val="ListParagraph"/>
        <w:numPr>
          <w:ilvl w:val="0"/>
          <w:numId w:val="7"/>
        </w:numPr>
        <w:spacing w:after="140" w:line="276"/>
      </w:pPr>
      <w:r>
        <w:rPr>
          <w:rFonts w:ascii="Calibri" w:cs="Calibri" w:eastAsia="Calibri" w:hAnsi="Calibri"/>
          <w:sz w:val="22"/>
          <w:szCs w:val="22"/>
        </w:rPr>
        <w:t xml:space="preserve">Upon termination of the Subscription, the Provider will destroy the Client's Personal Information in accordance with applicable Privacy Laws, subject to any legal retention obligation.</w:t>
      </w:r>
    </w:p>
    <w:p>
      <w:pPr>
        <w:pStyle w:val="Heading1"/>
        <w:spacing w:after="150" w:before="300"/>
      </w:pPr>
      <w:r>
        <w:rPr>
          <w:rFonts w:ascii="Calibri" w:cs="Calibri" w:eastAsia="Calibri" w:hAnsi="Calibri"/>
          <w:b/>
          <w:bCs/>
        </w:rPr>
        <w:t xml:space="preserve">7. FEES AND PAYMENT TERMS</w:t>
      </w:r>
    </w:p>
    <w:p>
      <w:pPr>
        <w:pStyle w:val="ListParagraph"/>
        <w:numPr>
          <w:ilvl w:val="0"/>
          <w:numId w:val="8"/>
        </w:numPr>
        <w:spacing w:after="140" w:line="276"/>
      </w:pPr>
      <w:r>
        <w:rPr>
          <w:rFonts w:ascii="Calibri" w:cs="Calibri" w:eastAsia="Calibri" w:hAnsi="Calibri"/>
          <w:sz w:val="22"/>
          <w:szCs w:val="22"/>
        </w:rPr>
        <w:t xml:space="preserve">The Setup Fee, where applicable, is payable in a single instalment at the time of registration, prior to activation of the Plan, and is non-refundable once the implementation process has begun;</w:t>
      </w:r>
    </w:p>
    <w:p>
      <w:pPr>
        <w:pStyle w:val="ListParagraph"/>
        <w:numPr>
          <w:ilvl w:val="0"/>
          <w:numId w:val="8"/>
        </w:numPr>
        <w:spacing w:after="140" w:line="276"/>
      </w:pPr>
      <w:r>
        <w:rPr>
          <w:rFonts w:ascii="Calibri" w:cs="Calibri" w:eastAsia="Calibri" w:hAnsi="Calibri"/>
          <w:sz w:val="22"/>
          <w:szCs w:val="22"/>
        </w:rPr>
        <w:t xml:space="preserve">Monthly Subscription fees are billed in advance, to the credit card on file, on the calendar day corresponding to the date of the initial payment (or the following business day if that day does not exist in a given month), for the entire duration of the Subscription;</w:t>
      </w:r>
    </w:p>
    <w:p>
      <w:pPr>
        <w:pStyle w:val="ListParagraph"/>
        <w:numPr>
          <w:ilvl w:val="0"/>
          <w:numId w:val="8"/>
        </w:numPr>
        <w:spacing w:after="140" w:line="276"/>
      </w:pPr>
      <w:r>
        <w:rPr>
          <w:rFonts w:ascii="Calibri" w:cs="Calibri" w:eastAsia="Calibri" w:hAnsi="Calibri"/>
          <w:sz w:val="22"/>
          <w:szCs w:val="22"/>
        </w:rPr>
        <w:t xml:space="preserve">Displayed prices are in Canadian dollars and exclude applicable taxes, which are added at the time of payment;</w:t>
      </w:r>
    </w:p>
    <w:p>
      <w:pPr>
        <w:pStyle w:val="ListParagraph"/>
        <w:numPr>
          <w:ilvl w:val="0"/>
          <w:numId w:val="8"/>
        </w:numPr>
        <w:spacing w:after="140" w:line="276"/>
      </w:pPr>
      <w:r>
        <w:rPr>
          <w:rFonts w:ascii="Calibri" w:cs="Calibri" w:eastAsia="Calibri" w:hAnsi="Calibri"/>
          <w:sz w:val="22"/>
          <w:szCs w:val="22"/>
        </w:rPr>
        <w:t xml:space="preserve">Any declined or overdue payment bears interest at a rate of five percent (5%) per month, calculated daily, from the due date. The Provider may suspend access to the Services if a payment remains overdue for more than five (5) business days following notice to the Client;</w:t>
      </w:r>
    </w:p>
    <w:p>
      <w:pPr>
        <w:pStyle w:val="ListParagraph"/>
        <w:numPr>
          <w:ilvl w:val="0"/>
          <w:numId w:val="8"/>
        </w:numPr>
        <w:spacing w:after="140" w:line="276"/>
      </w:pPr>
      <w:r>
        <w:rPr>
          <w:rFonts w:ascii="Calibri" w:cs="Calibri" w:eastAsia="Calibri" w:hAnsi="Calibri"/>
          <w:sz w:val="22"/>
          <w:szCs w:val="22"/>
        </w:rPr>
        <w:t xml:space="preserve">A detailed receipt is sent to the Client by email with each billing.</w:t>
      </w:r>
    </w:p>
    <w:p>
      <w:pPr>
        <w:pStyle w:val="Heading1"/>
        <w:spacing w:after="150" w:before="300"/>
      </w:pPr>
      <w:r>
        <w:rPr>
          <w:rFonts w:ascii="Calibri" w:cs="Calibri" w:eastAsia="Calibri" w:hAnsi="Calibri"/>
          <w:b/>
          <w:bCs/>
        </w:rPr>
        <w:t xml:space="preserve">8. TERM, RENEWAL AND TERMINATION</w:t>
      </w:r>
    </w:p>
    <w:p>
      <w:pPr>
        <w:pStyle w:val="ListParagraph"/>
        <w:numPr>
          <w:ilvl w:val="0"/>
          <w:numId w:val="9"/>
        </w:numPr>
        <w:spacing w:after="140" w:line="276"/>
      </w:pPr>
      <w:r>
        <w:rPr>
          <w:rFonts w:ascii="Calibri" w:cs="Calibri" w:eastAsia="Calibri" w:hAnsi="Calibri"/>
          <w:sz w:val="22"/>
          <w:szCs w:val="22"/>
        </w:rPr>
        <w:t xml:space="preserve">The Subscription is monthly, with no long-term commitment, and automatically renews each month on the anniversary date of the initial payment, until cancelled by either party;</w:t>
      </w:r>
    </w:p>
    <w:p>
      <w:pPr>
        <w:pStyle w:val="ListParagraph"/>
        <w:numPr>
          <w:ilvl w:val="0"/>
          <w:numId w:val="9"/>
        </w:numPr>
        <w:spacing w:after="140" w:line="276"/>
      </w:pPr>
      <w:r>
        <w:rPr>
          <w:rFonts w:ascii="Calibri" w:cs="Calibri" w:eastAsia="Calibri" w:hAnsi="Calibri"/>
          <w:sz w:val="22"/>
          <w:szCs w:val="22"/>
        </w:rPr>
        <w:t xml:space="preserve">The Client may cancel the Subscription at any time, without penalty, from its client portal or by email to the address indicated in Article 10. Cancellation takes effect at the end of the current monthly billing cycle; no pro-rated refund is granted for the portion of the current month already billed;</w:t>
      </w:r>
    </w:p>
    <w:p>
      <w:pPr>
        <w:pStyle w:val="ListParagraph"/>
        <w:numPr>
          <w:ilvl w:val="0"/>
          <w:numId w:val="9"/>
        </w:numPr>
        <w:spacing w:after="140" w:line="276"/>
      </w:pPr>
      <w:r>
        <w:rPr>
          <w:rFonts w:ascii="Calibri" w:cs="Calibri" w:eastAsia="Calibri" w:hAnsi="Calibri"/>
          <w:sz w:val="22"/>
          <w:szCs w:val="22"/>
        </w:rPr>
        <w:t xml:space="preserve">The Provider may terminate the Subscription with immediate effect, upon simple written notice, in the event of fraud, unlawful conduct, non-payment not cured within five (5) days of notice, or breach by the Client of Article 3 hereof;</w:t>
      </w:r>
    </w:p>
    <w:p>
      <w:pPr>
        <w:pStyle w:val="ListParagraph"/>
        <w:numPr>
          <w:ilvl w:val="0"/>
          <w:numId w:val="9"/>
        </w:numPr>
        <w:spacing w:after="140" w:line="276"/>
      </w:pPr>
      <w:r>
        <w:rPr>
          <w:rFonts w:ascii="Calibri" w:cs="Calibri" w:eastAsia="Calibri" w:hAnsi="Calibri"/>
          <w:sz w:val="22"/>
          <w:szCs w:val="22"/>
        </w:rPr>
        <w:t xml:space="preserve">The Setup Fee is non-refundable upon termination, unless otherwise agreed in writing.</w:t>
      </w:r>
    </w:p>
    <w:p>
      <w:pPr>
        <w:pStyle w:val="Heading1"/>
        <w:spacing w:after="150" w:before="300"/>
      </w:pPr>
      <w:r>
        <w:rPr>
          <w:rFonts w:ascii="Calibri" w:cs="Calibri" w:eastAsia="Calibri" w:hAnsi="Calibri"/>
          <w:b/>
          <w:bCs/>
        </w:rPr>
        <w:t xml:space="preserve">9. LIMITATION OF LIABILITY</w:t>
      </w:r>
    </w:p>
    <w:p>
      <w:pPr>
        <w:pStyle w:val="ListParagraph"/>
        <w:numPr>
          <w:ilvl w:val="0"/>
          <w:numId w:val="10"/>
        </w:numPr>
        <w:spacing w:after="140" w:line="276"/>
      </w:pPr>
      <w:r>
        <w:rPr>
          <w:rFonts w:ascii="Calibri" w:cs="Calibri" w:eastAsia="Calibri" w:hAnsi="Calibri"/>
          <w:sz w:val="22"/>
          <w:szCs w:val="22"/>
        </w:rPr>
        <w:t xml:space="preserve">Except in the case of gross negligence or intentional fault, neither party shall be liable to the other for any indirect, incidental, special or consequential damages arising from these Terms or the provision of the Services;</w:t>
      </w:r>
    </w:p>
    <w:p>
      <w:pPr>
        <w:pStyle w:val="ListParagraph"/>
        <w:numPr>
          <w:ilvl w:val="0"/>
          <w:numId w:val="10"/>
        </w:numPr>
        <w:spacing w:after="140" w:line="276"/>
      </w:pPr>
      <w:r>
        <w:rPr>
          <w:rFonts w:ascii="Calibri" w:cs="Calibri" w:eastAsia="Calibri" w:hAnsi="Calibri"/>
          <w:sz w:val="22"/>
          <w:szCs w:val="22"/>
        </w:rPr>
        <w:t xml:space="preserve">The Provider's total cumulative liability for any claim arising from these Terms shall in no event exceed the total amount of fees paid by the Client during the twelve (12) months immediately preceding the event giving rise to the claim;</w:t>
      </w:r>
    </w:p>
    <w:p>
      <w:pPr>
        <w:pStyle w:val="ListParagraph"/>
        <w:numPr>
          <w:ilvl w:val="0"/>
          <w:numId w:val="10"/>
        </w:numPr>
        <w:spacing w:after="140" w:line="276"/>
      </w:pPr>
      <w:r>
        <w:rPr>
          <w:rFonts w:ascii="Calibri" w:cs="Calibri" w:eastAsia="Calibri" w:hAnsi="Calibri"/>
          <w:sz w:val="22"/>
          <w:szCs w:val="22"/>
        </w:rPr>
        <w:t xml:space="preserve">This limitation of liability survives termination or expiry of the Subscription for any reason whatsoever.</w:t>
      </w:r>
    </w:p>
    <w:p>
      <w:pPr>
        <w:pStyle w:val="Heading1"/>
        <w:spacing w:after="150" w:before="300"/>
      </w:pPr>
      <w:r>
        <w:rPr>
          <w:rFonts w:ascii="Calibri" w:cs="Calibri" w:eastAsia="Calibri" w:hAnsi="Calibri"/>
          <w:b/>
          <w:bCs/>
        </w:rPr>
        <w:t xml:space="preserve">10. NOTICES</w:t>
      </w:r>
    </w:p>
    <w:p>
      <w:pPr>
        <w:spacing w:after="200" w:line="276"/>
      </w:pPr>
      <w:r>
        <w:rPr>
          <w:rFonts w:ascii="Calibri" w:cs="Calibri" w:eastAsia="Calibri" w:hAnsi="Calibri"/>
          <w:sz w:val="22"/>
          <w:szCs w:val="22"/>
        </w:rPr>
        <w:t xml:space="preserve">Any notice to the Provider must be sent by email to louis.chamberland@reactivix.com. Any notice to the Client will be sent to the email address provided by the Client upon registration. A notice sent by email is deemed received on the business day following its transmission.</w:t>
      </w:r>
    </w:p>
    <w:p>
      <w:pPr>
        <w:pStyle w:val="Heading1"/>
        <w:spacing w:after="150" w:before="300"/>
      </w:pPr>
      <w:r>
        <w:rPr>
          <w:rFonts w:ascii="Calibri" w:cs="Calibri" w:eastAsia="Calibri" w:hAnsi="Calibri"/>
          <w:b/>
          <w:bCs/>
        </w:rPr>
        <w:t xml:space="preserve">11. CHANGES TO THESE TERMS</w:t>
      </w:r>
    </w:p>
    <w:p>
      <w:pPr>
        <w:spacing w:after="200" w:line="276"/>
      </w:pPr>
      <w:r>
        <w:rPr>
          <w:rFonts w:ascii="Calibri" w:cs="Calibri" w:eastAsia="Calibri" w:hAnsi="Calibri"/>
          <w:sz w:val="22"/>
          <w:szCs w:val="22"/>
        </w:rPr>
        <w:t xml:space="preserve">The Provider may amend these Terms at any time to reflect changes to the Services or to legal requirements. Any material change will be communicated to the Client by email at least thirty (30) days before it takes effect. Continued use of the Services after that date constitutes acceptance of the amended Terms; the Client retains, at all times, the right to cancel the Subscription in accordance with Article 8 should it decline an amendment.</w:t>
      </w:r>
    </w:p>
    <w:p>
      <w:pPr>
        <w:pStyle w:val="Heading1"/>
        <w:spacing w:after="150" w:before="300"/>
      </w:pPr>
      <w:r>
        <w:rPr>
          <w:rFonts w:ascii="Calibri" w:cs="Calibri" w:eastAsia="Calibri" w:hAnsi="Calibri"/>
          <w:b/>
          <w:bCs/>
        </w:rPr>
        <w:t xml:space="preserve">12. GENERAL PROVISIONS</w:t>
      </w:r>
    </w:p>
    <w:p>
      <w:pPr>
        <w:pStyle w:val="ListParagraph"/>
        <w:numPr>
          <w:ilvl w:val="0"/>
          <w:numId w:val="11"/>
        </w:numPr>
        <w:spacing w:after="140" w:line="276"/>
      </w:pPr>
      <w:r>
        <w:rPr>
          <w:rFonts w:ascii="Calibri" w:cs="Calibri" w:eastAsia="Calibri" w:hAnsi="Calibri"/>
          <w:sz w:val="22"/>
          <w:szCs w:val="22"/>
        </w:rPr>
        <w:t xml:space="preserve">The Client may not assign its rights and obligations under these Terms without the Provider's prior written consent;</w:t>
      </w:r>
    </w:p>
    <w:p>
      <w:pPr>
        <w:pStyle w:val="ListParagraph"/>
        <w:numPr>
          <w:ilvl w:val="0"/>
          <w:numId w:val="11"/>
        </w:numPr>
        <w:spacing w:after="140" w:line="276"/>
      </w:pPr>
      <w:r>
        <w:rPr>
          <w:rFonts w:ascii="Calibri" w:cs="Calibri" w:eastAsia="Calibri" w:hAnsi="Calibri"/>
          <w:sz w:val="22"/>
          <w:szCs w:val="22"/>
        </w:rPr>
        <w:t xml:space="preserve">If any provision hereof is held invalid or unenforceable, the remaining provisions shall remain in full force and effect;</w:t>
      </w:r>
    </w:p>
    <w:p>
      <w:pPr>
        <w:pStyle w:val="ListParagraph"/>
        <w:numPr>
          <w:ilvl w:val="0"/>
          <w:numId w:val="11"/>
        </w:numPr>
        <w:spacing w:after="140" w:line="276"/>
      </w:pPr>
      <w:r>
        <w:rPr>
          <w:rFonts w:ascii="Calibri" w:cs="Calibri" w:eastAsia="Calibri" w:hAnsi="Calibri"/>
          <w:sz w:val="22"/>
          <w:szCs w:val="22"/>
        </w:rPr>
        <w:t xml:space="preserve">These Terms, including the courtieria.com pricing page incorporated herein by reference, constitute the entire agreement between the parties with respect to their subject matter and supersede any prior agreement, whether written or oral;</w:t>
      </w:r>
    </w:p>
    <w:p>
      <w:pPr>
        <w:pStyle w:val="ListParagraph"/>
        <w:numPr>
          <w:ilvl w:val="0"/>
          <w:numId w:val="11"/>
        </w:numPr>
        <w:spacing w:after="140" w:line="276"/>
      </w:pPr>
      <w:r>
        <w:rPr>
          <w:rFonts w:ascii="Calibri" w:cs="Calibri" w:eastAsia="Calibri" w:hAnsi="Calibri"/>
          <w:sz w:val="22"/>
          <w:szCs w:val="22"/>
        </w:rPr>
        <w:t xml:space="preserve">These Terms are governed by the laws applicable in the Province of Québec, and the parties submit to the jurisdiction of the courts of the judicial district of Saint-Hyacinthe.</w:t>
      </w:r>
    </w:p>
    <w:p>
      <w:pPr>
        <w:spacing w:after="0" w:line="276"/>
      </w:pPr>
      <w:r>
        <w:rPr>
          <w:rFonts w:ascii="Calibri" w:cs="Calibri" w:eastAsia="Calibri" w:hAnsi="Calibri"/>
          <w:i/>
          <w:iCs/>
          <w:sz w:val="20"/>
          <w:szCs w:val="20"/>
        </w:rPr>
        <w:t xml:space="preserve">Last updated: July 28, 2026.</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431"/>
      </w:pPr>
    </w:lvl>
  </w:abstractNum>
  <w:abstractNum w:abstractNumId="3" w15:restartNumberingAfterBreak="0">
    <w:multiLevelType w:val="hybridMultilevel"/>
    <w:lvl w:ilvl="0" w15:tentative="1">
      <w:start w:val="1"/>
      <w:numFmt w:val="decimal"/>
      <w:lvlText w:val="%1."/>
      <w:lvlJc w:val="start"/>
      <w:pPr>
        <w:ind w:left="576" w:hanging="431"/>
      </w:pPr>
    </w:lvl>
  </w:abstractNum>
  <w:abstractNum w:abstractNumId="4" w15:restartNumberingAfterBreak="0">
    <w:multiLevelType w:val="hybridMultilevel"/>
    <w:lvl w:ilvl="0" w15:tentative="1">
      <w:start w:val="1"/>
      <w:numFmt w:val="decimal"/>
      <w:lvlText w:val="%1."/>
      <w:lvlJc w:val="start"/>
      <w:pPr>
        <w:ind w:left="576" w:hanging="431"/>
      </w:pPr>
    </w:lvl>
  </w:abstractNum>
  <w:abstractNum w:abstractNumId="5" w15:restartNumberingAfterBreak="0">
    <w:multiLevelType w:val="hybridMultilevel"/>
    <w:lvl w:ilvl="0" w15:tentative="1">
      <w:start w:val="1"/>
      <w:numFmt w:val="decimal"/>
      <w:lvlText w:val="%1."/>
      <w:lvlJc w:val="start"/>
      <w:pPr>
        <w:ind w:left="576" w:hanging="431"/>
      </w:pPr>
    </w:lvl>
  </w:abstractNum>
  <w:abstractNum w:abstractNumId="6" w15:restartNumberingAfterBreak="0">
    <w:multiLevelType w:val="hybridMultilevel"/>
    <w:lvl w:ilvl="0" w15:tentative="1">
      <w:start w:val="1"/>
      <w:numFmt w:val="decimal"/>
      <w:lvlText w:val="%1."/>
      <w:lvlJc w:val="start"/>
      <w:pPr>
        <w:ind w:left="576" w:hanging="431"/>
      </w:pPr>
    </w:lvl>
  </w:abstractNum>
  <w:abstractNum w:abstractNumId="7" w15:restartNumberingAfterBreak="0">
    <w:multiLevelType w:val="hybridMultilevel"/>
    <w:lvl w:ilvl="0" w15:tentative="1">
      <w:start w:val="1"/>
      <w:numFmt w:val="decimal"/>
      <w:lvlText w:val="%1."/>
      <w:lvlJc w:val="start"/>
      <w:pPr>
        <w:ind w:left="576" w:hanging="431"/>
      </w:pPr>
    </w:lvl>
  </w:abstractNum>
  <w:abstractNum w:abstractNumId="8" w15:restartNumberingAfterBreak="0">
    <w:multiLevelType w:val="hybridMultilevel"/>
    <w:lvl w:ilvl="0" w15:tentative="1">
      <w:start w:val="1"/>
      <w:numFmt w:val="decimal"/>
      <w:lvlText w:val="%1."/>
      <w:lvlJc w:val="start"/>
      <w:pPr>
        <w:ind w:left="576" w:hanging="431"/>
      </w:pPr>
    </w:lvl>
  </w:abstractNum>
  <w:abstractNum w:abstractNumId="9" w15:restartNumberingAfterBreak="0">
    <w:multiLevelType w:val="hybridMultilevel"/>
    <w:lvl w:ilvl="0" w15:tentative="1">
      <w:start w:val="1"/>
      <w:numFmt w:val="decimal"/>
      <w:lvlText w:val="%1."/>
      <w:lvlJc w:val="start"/>
      <w:pPr>
        <w:ind w:left="576" w:hanging="431"/>
      </w:pPr>
    </w:lvl>
  </w:abstractNum>
  <w:abstractNum w:abstractNumId="10" w15:restartNumberingAfterBreak="0">
    <w:multiLevelType w:val="hybridMultilevel"/>
    <w:lvl w:ilvl="0" w15:tentative="1">
      <w:start w:val="1"/>
      <w:numFmt w:val="decimal"/>
      <w:lvlText w:val="%1."/>
      <w:lvlJc w:val="start"/>
      <w:pPr>
        <w:ind w:left="576" w:hanging="431"/>
      </w:pPr>
    </w:lvl>
  </w:abstractNum>
  <w:abstractNum w:abstractNumId="11" w15:restartNumberingAfterBreak="0">
    <w:multiLevelType w:val="hybridMultilevel"/>
    <w:lvl w:ilvl="0" w15:tentative="1">
      <w:start w:val="1"/>
      <w:numFmt w:val="decimal"/>
      <w:lvlText w:val="%1."/>
      <w:lvlJc w:val="start"/>
      <w:pPr>
        <w:ind w:left="576" w:hanging="431"/>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64dc8a9b00736b2342165300eeefbbf52f28d0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2026-07-28T14:12:50.929Z</dcterms:created>
  <dcterms:modified xsi:type="dcterms:W3CDTF">2026-07-28T14:12:50.929Z</dcterms:modified>
</cp:coreProperties>
</file>

<file path=docProps/custom.xml><?xml version="1.0" encoding="utf-8"?>
<Properties xmlns="http://schemas.openxmlformats.org/officeDocument/2006/custom-properties" xmlns:vt="http://schemas.openxmlformats.org/officeDocument/2006/docPropsVTypes"/>
</file>